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788B" w14:textId="49E2BEA9" w:rsidR="00123B7E" w:rsidRPr="001834EF" w:rsidRDefault="001834EF" w:rsidP="003F0134">
      <w:pPr>
        <w:ind w:left="-851"/>
        <w:rPr>
          <w:szCs w:val="21"/>
        </w:rPr>
      </w:pPr>
      <w:r w:rsidRPr="005B026D">
        <w:rPr>
          <w:b/>
          <w:sz w:val="28"/>
          <w:szCs w:val="28"/>
        </w:rPr>
        <w:t xml:space="preserve">Datagrundlag for </w:t>
      </w:r>
      <w:r>
        <w:rPr>
          <w:b/>
          <w:sz w:val="28"/>
          <w:szCs w:val="28"/>
        </w:rPr>
        <w:t xml:space="preserve">Landsbyggefondens </w:t>
      </w:r>
      <w:r w:rsidR="004A390D">
        <w:rPr>
          <w:b/>
          <w:sz w:val="28"/>
          <w:szCs w:val="28"/>
        </w:rPr>
        <w:t>T</w:t>
      </w:r>
      <w:r>
        <w:rPr>
          <w:b/>
          <w:sz w:val="28"/>
          <w:szCs w:val="28"/>
        </w:rPr>
        <w:t>villingeværktøj</w:t>
      </w:r>
    </w:p>
    <w:p w14:paraId="5C443F97" w14:textId="77777777" w:rsidR="00CB5B31" w:rsidRDefault="004E6984" w:rsidP="003F0134">
      <w:pPr>
        <w:spacing w:line="240" w:lineRule="auto"/>
        <w:ind w:left="-851"/>
        <w:rPr>
          <w:b/>
          <w:szCs w:val="21"/>
        </w:rPr>
      </w:pPr>
      <w:r>
        <w:rPr>
          <w:b/>
          <w:szCs w:val="21"/>
        </w:rPr>
        <w:t xml:space="preserve">Data </w:t>
      </w:r>
      <w:r w:rsidR="0006476E">
        <w:rPr>
          <w:b/>
          <w:szCs w:val="21"/>
        </w:rPr>
        <w:t>i Tvillingeværktøjet</w:t>
      </w:r>
      <w:r w:rsidR="00123B7E" w:rsidRPr="001834EF">
        <w:rPr>
          <w:b/>
          <w:szCs w:val="21"/>
        </w:rPr>
        <w:t xml:space="preserve"> </w:t>
      </w:r>
    </w:p>
    <w:p w14:paraId="41486E8E" w14:textId="6FB019DF" w:rsidR="004E6984" w:rsidRPr="00C526F7" w:rsidRDefault="00FF16B1" w:rsidP="004E6984">
      <w:pPr>
        <w:spacing w:line="240" w:lineRule="auto"/>
        <w:ind w:left="-851"/>
        <w:rPr>
          <w:szCs w:val="21"/>
        </w:rPr>
      </w:pPr>
      <w:r w:rsidRPr="00C526F7">
        <w:rPr>
          <w:szCs w:val="21"/>
        </w:rPr>
        <w:t>Der indgår en række</w:t>
      </w:r>
      <w:r w:rsidR="00CB5B31">
        <w:rPr>
          <w:szCs w:val="21"/>
        </w:rPr>
        <w:t xml:space="preserve"> forskellige</w:t>
      </w:r>
      <w:r w:rsidRPr="00C526F7">
        <w:rPr>
          <w:szCs w:val="21"/>
        </w:rPr>
        <w:t xml:space="preserve"> data i Tvillingeværktøjet. </w:t>
      </w:r>
      <w:r w:rsidR="004E6984" w:rsidRPr="00C526F7">
        <w:rPr>
          <w:szCs w:val="21"/>
        </w:rPr>
        <w:t>Data opdateres årligt, når der foreligger nye data. Dette gælder både regnskabsdata,</w:t>
      </w:r>
      <w:r w:rsidR="00B77A05">
        <w:rPr>
          <w:szCs w:val="21"/>
        </w:rPr>
        <w:t xml:space="preserve"> effektivitetsdata,</w:t>
      </w:r>
      <w:r w:rsidR="004E6984" w:rsidRPr="00C526F7">
        <w:rPr>
          <w:szCs w:val="21"/>
        </w:rPr>
        <w:t xml:space="preserve"> s</w:t>
      </w:r>
      <w:r w:rsidR="004E6984">
        <w:rPr>
          <w:szCs w:val="21"/>
        </w:rPr>
        <w:t xml:space="preserve">tamdata og socioøkonomiske data (se Tabel </w:t>
      </w:r>
      <w:r w:rsidR="00954521">
        <w:rPr>
          <w:szCs w:val="21"/>
        </w:rPr>
        <w:t>4</w:t>
      </w:r>
      <w:r w:rsidR="004E6984">
        <w:rPr>
          <w:szCs w:val="21"/>
        </w:rPr>
        <w:t>).</w:t>
      </w:r>
    </w:p>
    <w:p w14:paraId="12C60A3E" w14:textId="77777777" w:rsidR="00FF16B1" w:rsidRPr="004E6984" w:rsidRDefault="004E6984" w:rsidP="003F0134">
      <w:pPr>
        <w:ind w:left="-851"/>
        <w:rPr>
          <w:i/>
          <w:szCs w:val="21"/>
        </w:rPr>
      </w:pPr>
      <w:r w:rsidRPr="004E6984">
        <w:rPr>
          <w:i/>
          <w:szCs w:val="21"/>
        </w:rPr>
        <w:t xml:space="preserve">Tabel 1: </w:t>
      </w:r>
      <w:r w:rsidR="00FF16B1" w:rsidRPr="004E6984">
        <w:rPr>
          <w:i/>
          <w:szCs w:val="21"/>
        </w:rPr>
        <w:t>Data for følgende baggrundsva</w:t>
      </w:r>
      <w:r w:rsidR="00CB5B31" w:rsidRPr="004E6984">
        <w:rPr>
          <w:i/>
          <w:szCs w:val="21"/>
        </w:rPr>
        <w:t>riable indgår i udsøgningen af t</w:t>
      </w:r>
      <w:r w:rsidR="00FF16B1" w:rsidRPr="004E6984">
        <w:rPr>
          <w:i/>
          <w:szCs w:val="21"/>
        </w:rPr>
        <w:t>villinger på boligorganisationsniveau:</w:t>
      </w:r>
    </w:p>
    <w:tbl>
      <w:tblPr>
        <w:tblStyle w:val="Tabel-Gitter"/>
        <w:tblW w:w="15026" w:type="dxa"/>
        <w:tblInd w:w="-743" w:type="dxa"/>
        <w:tblLayout w:type="fixed"/>
        <w:tblLook w:val="04A0" w:firstRow="1" w:lastRow="0" w:firstColumn="1" w:lastColumn="0" w:noHBand="0" w:noVBand="1"/>
      </w:tblPr>
      <w:tblGrid>
        <w:gridCol w:w="2411"/>
        <w:gridCol w:w="9497"/>
        <w:gridCol w:w="3118"/>
      </w:tblGrid>
      <w:tr w:rsidR="003F0134" w14:paraId="750638BD" w14:textId="77777777" w:rsidTr="003F0134">
        <w:tc>
          <w:tcPr>
            <w:tcW w:w="2411" w:type="dxa"/>
          </w:tcPr>
          <w:p w14:paraId="52839908" w14:textId="77777777" w:rsidR="0006476E" w:rsidRPr="00524D47" w:rsidRDefault="0006476E" w:rsidP="00CB5B31">
            <w:pPr>
              <w:spacing w:after="240"/>
              <w:rPr>
                <w:rFonts w:eastAsia="Times New Roman"/>
                <w:b/>
                <w:szCs w:val="21"/>
                <w:lang w:eastAsia="da-DK"/>
              </w:rPr>
            </w:pPr>
            <w:r w:rsidRPr="00524D47">
              <w:rPr>
                <w:rFonts w:eastAsia="Times New Roman"/>
                <w:b/>
                <w:szCs w:val="21"/>
                <w:lang w:eastAsia="da-DK"/>
              </w:rPr>
              <w:t>Baggrundsvariabel</w:t>
            </w:r>
          </w:p>
        </w:tc>
        <w:tc>
          <w:tcPr>
            <w:tcW w:w="9497" w:type="dxa"/>
          </w:tcPr>
          <w:p w14:paraId="1D929DB4" w14:textId="77777777" w:rsidR="0006476E" w:rsidRPr="00524D47" w:rsidRDefault="0006476E" w:rsidP="00CB5B31">
            <w:pPr>
              <w:spacing w:after="240"/>
              <w:rPr>
                <w:rFonts w:eastAsia="Times New Roman"/>
                <w:b/>
                <w:szCs w:val="21"/>
                <w:lang w:eastAsia="da-DK"/>
              </w:rPr>
            </w:pPr>
            <w:r w:rsidRPr="00524D47">
              <w:rPr>
                <w:rFonts w:eastAsia="Times New Roman"/>
                <w:b/>
                <w:szCs w:val="21"/>
                <w:lang w:eastAsia="da-DK"/>
              </w:rPr>
              <w:t>Definition af baggrundsvariabel</w:t>
            </w:r>
          </w:p>
        </w:tc>
        <w:tc>
          <w:tcPr>
            <w:tcW w:w="3118" w:type="dxa"/>
          </w:tcPr>
          <w:p w14:paraId="1CB8B50B" w14:textId="77777777" w:rsidR="0006476E" w:rsidRPr="00524D47" w:rsidRDefault="0006476E" w:rsidP="0006476E">
            <w:pPr>
              <w:spacing w:after="240"/>
              <w:rPr>
                <w:rFonts w:eastAsia="Times New Roman"/>
                <w:b/>
                <w:szCs w:val="21"/>
                <w:lang w:eastAsia="da-DK"/>
              </w:rPr>
            </w:pPr>
            <w:r w:rsidRPr="00524D47">
              <w:rPr>
                <w:rFonts w:eastAsia="Times New Roman"/>
                <w:b/>
                <w:szCs w:val="21"/>
                <w:lang w:eastAsia="da-DK"/>
              </w:rPr>
              <w:t>Datakilde</w:t>
            </w:r>
          </w:p>
        </w:tc>
      </w:tr>
      <w:tr w:rsidR="003F0134" w14:paraId="2EAB89A2" w14:textId="77777777" w:rsidTr="003F0134">
        <w:tc>
          <w:tcPr>
            <w:tcW w:w="2411" w:type="dxa"/>
          </w:tcPr>
          <w:p w14:paraId="0ABBB163" w14:textId="77777777" w:rsidR="0006476E" w:rsidRPr="00CB5B31" w:rsidRDefault="0006476E" w:rsidP="00CB5B31">
            <w:pPr>
              <w:rPr>
                <w:rFonts w:eastAsia="Times New Roman"/>
                <w:szCs w:val="21"/>
                <w:lang w:eastAsia="da-DK"/>
              </w:rPr>
            </w:pPr>
            <w:r w:rsidRPr="00CB5B31">
              <w:rPr>
                <w:rFonts w:eastAsia="Times New Roman"/>
                <w:szCs w:val="21"/>
                <w:lang w:eastAsia="da-DK"/>
              </w:rPr>
              <w:t>Antal lejemålsenheder</w:t>
            </w:r>
          </w:p>
          <w:p w14:paraId="5D90C6DB" w14:textId="77777777" w:rsidR="0006476E" w:rsidRDefault="0006476E" w:rsidP="00CB5B31">
            <w:pPr>
              <w:spacing w:after="240"/>
              <w:rPr>
                <w:rFonts w:eastAsia="Times New Roman"/>
                <w:szCs w:val="21"/>
                <w:lang w:eastAsia="da-DK"/>
              </w:rPr>
            </w:pPr>
          </w:p>
        </w:tc>
        <w:tc>
          <w:tcPr>
            <w:tcW w:w="9497" w:type="dxa"/>
          </w:tcPr>
          <w:p w14:paraId="162999A0" w14:textId="77777777" w:rsidR="00556D62" w:rsidRPr="003F0134" w:rsidRDefault="008223B0" w:rsidP="00E14F80">
            <w:pPr>
              <w:spacing w:after="240"/>
            </w:pPr>
            <w:r>
              <w:t xml:space="preserve">Lejemålsenheder er summen af antal </w:t>
            </w:r>
            <w:r w:rsidR="00556D62">
              <w:t>b</w:t>
            </w:r>
            <w:r>
              <w:t>oliglejemål</w:t>
            </w:r>
            <w:r w:rsidR="00556D62">
              <w:t xml:space="preserve"> (</w:t>
            </w:r>
            <w:r>
              <w:t>1 bolig</w:t>
            </w:r>
            <w:r w:rsidR="00556D62">
              <w:t xml:space="preserve"> = 1 lejemålsenhed.), e</w:t>
            </w:r>
            <w:r>
              <w:t xml:space="preserve">rhvervslejemål og institutioner </w:t>
            </w:r>
            <w:r w:rsidR="00556D62">
              <w:t>(</w:t>
            </w:r>
            <w:r>
              <w:t>1 lejemålsenhed pr. påbegyndt 60 m²</w:t>
            </w:r>
            <w:r w:rsidR="00556D62">
              <w:t>) og garager/carporte (tæller 1/5 lejemålsenhed).</w:t>
            </w:r>
            <w:r w:rsidR="003F0134">
              <w:br/>
            </w:r>
            <w:r w:rsidR="00556D62">
              <w:t>Summeret på boligorganisationsniveau.</w:t>
            </w:r>
          </w:p>
        </w:tc>
        <w:tc>
          <w:tcPr>
            <w:tcW w:w="3118" w:type="dxa"/>
          </w:tcPr>
          <w:p w14:paraId="54F74F56" w14:textId="77777777" w:rsidR="0006476E" w:rsidRDefault="0006476E" w:rsidP="006C56C8">
            <w:pPr>
              <w:spacing w:after="240"/>
              <w:rPr>
                <w:rFonts w:eastAsia="Times New Roman"/>
                <w:szCs w:val="21"/>
                <w:lang w:eastAsia="da-DK"/>
              </w:rPr>
            </w:pPr>
            <w:r>
              <w:rPr>
                <w:rFonts w:eastAsia="Times New Roman"/>
                <w:szCs w:val="21"/>
                <w:lang w:eastAsia="da-DK"/>
              </w:rPr>
              <w:t>Landsbyggefondens Stamdatabase + Regnskabsdatabase</w:t>
            </w:r>
          </w:p>
        </w:tc>
      </w:tr>
      <w:tr w:rsidR="003F0134" w14:paraId="0DC223C0" w14:textId="77777777" w:rsidTr="002C7A41">
        <w:trPr>
          <w:trHeight w:val="862"/>
        </w:trPr>
        <w:tc>
          <w:tcPr>
            <w:tcW w:w="2411" w:type="dxa"/>
          </w:tcPr>
          <w:p w14:paraId="05CBDB34" w14:textId="77777777" w:rsidR="0006476E" w:rsidRDefault="0006476E" w:rsidP="003F0134">
            <w:pPr>
              <w:rPr>
                <w:rFonts w:eastAsia="Times New Roman"/>
                <w:szCs w:val="21"/>
                <w:lang w:eastAsia="da-DK"/>
              </w:rPr>
            </w:pPr>
            <w:r w:rsidRPr="00CB5B31">
              <w:rPr>
                <w:rFonts w:eastAsia="Times New Roman"/>
                <w:szCs w:val="21"/>
                <w:lang w:eastAsia="da-DK"/>
              </w:rPr>
              <w:t>Gennemsnitlig afdelingsstørrelse</w:t>
            </w:r>
          </w:p>
        </w:tc>
        <w:tc>
          <w:tcPr>
            <w:tcW w:w="9497" w:type="dxa"/>
          </w:tcPr>
          <w:p w14:paraId="78A51B13" w14:textId="77777777" w:rsidR="0006476E" w:rsidRDefault="008223B0" w:rsidP="00CB5B31">
            <w:pPr>
              <w:spacing w:after="240"/>
              <w:rPr>
                <w:rFonts w:eastAsia="Times New Roman"/>
                <w:szCs w:val="21"/>
                <w:lang w:eastAsia="da-DK"/>
              </w:rPr>
            </w:pPr>
            <w:r>
              <w:t>Antal lejemålsenheder/antal afdelinger</w:t>
            </w:r>
          </w:p>
        </w:tc>
        <w:tc>
          <w:tcPr>
            <w:tcW w:w="3118" w:type="dxa"/>
          </w:tcPr>
          <w:p w14:paraId="710CA927" w14:textId="77777777" w:rsidR="0006476E" w:rsidRDefault="0006476E" w:rsidP="00CB5B31">
            <w:pPr>
              <w:spacing w:after="240"/>
              <w:rPr>
                <w:rFonts w:eastAsia="Times New Roman"/>
                <w:szCs w:val="21"/>
                <w:lang w:eastAsia="da-DK"/>
              </w:rPr>
            </w:pPr>
            <w:r>
              <w:rPr>
                <w:rFonts w:eastAsia="Times New Roman"/>
                <w:szCs w:val="21"/>
                <w:lang w:eastAsia="da-DK"/>
              </w:rPr>
              <w:t>Landsbyggefondens Stamdatabase + Regnskabsdatabase</w:t>
            </w:r>
          </w:p>
        </w:tc>
      </w:tr>
      <w:tr w:rsidR="003F0134" w14:paraId="6E663A43" w14:textId="77777777" w:rsidTr="003F0134">
        <w:tc>
          <w:tcPr>
            <w:tcW w:w="2411" w:type="dxa"/>
          </w:tcPr>
          <w:p w14:paraId="6BE2237C" w14:textId="77777777" w:rsidR="0006476E" w:rsidRDefault="0006476E" w:rsidP="003F0134">
            <w:pPr>
              <w:rPr>
                <w:rFonts w:eastAsia="Times New Roman"/>
                <w:szCs w:val="21"/>
                <w:lang w:eastAsia="da-DK"/>
              </w:rPr>
            </w:pPr>
            <w:r w:rsidRPr="00CB5B31">
              <w:rPr>
                <w:rFonts w:eastAsia="Times New Roman"/>
                <w:szCs w:val="21"/>
                <w:lang w:eastAsia="da-DK"/>
              </w:rPr>
              <w:t>Andel indvandrere/</w:t>
            </w:r>
            <w:r w:rsidR="003F0134">
              <w:rPr>
                <w:rFonts w:eastAsia="Times New Roman"/>
                <w:szCs w:val="21"/>
                <w:lang w:eastAsia="da-DK"/>
              </w:rPr>
              <w:t>-</w:t>
            </w:r>
            <w:r w:rsidRPr="00CB5B31">
              <w:rPr>
                <w:rFonts w:eastAsia="Times New Roman"/>
                <w:szCs w:val="21"/>
                <w:lang w:eastAsia="da-DK"/>
              </w:rPr>
              <w:t>efterkommere fra ikke-vestlige lande</w:t>
            </w:r>
          </w:p>
        </w:tc>
        <w:tc>
          <w:tcPr>
            <w:tcW w:w="9497" w:type="dxa"/>
          </w:tcPr>
          <w:p w14:paraId="5D7848BA" w14:textId="332A8D5F" w:rsidR="008223B0" w:rsidRDefault="009977AB" w:rsidP="002C7A41">
            <w:pPr>
              <w:spacing w:after="240"/>
              <w:rPr>
                <w:rFonts w:eastAsia="Times New Roman"/>
                <w:szCs w:val="21"/>
                <w:lang w:eastAsia="da-DK"/>
              </w:rPr>
            </w:pPr>
            <w:r>
              <w:rPr>
                <w:szCs w:val="21"/>
              </w:rPr>
              <w:t>Det samlede a</w:t>
            </w:r>
            <w:r w:rsidRPr="001834EF">
              <w:rPr>
                <w:szCs w:val="21"/>
              </w:rPr>
              <w:t>ntal indvandrere og efterkommere fra ikke-vestlige lande i afdelingen</w:t>
            </w:r>
            <w:r>
              <w:rPr>
                <w:szCs w:val="21"/>
              </w:rPr>
              <w:t xml:space="preserve"> set i forhold til det samlede a</w:t>
            </w:r>
            <w:r w:rsidRPr="001834EF">
              <w:rPr>
                <w:szCs w:val="21"/>
              </w:rPr>
              <w:t>ntal beboere</w:t>
            </w:r>
            <w:r>
              <w:rPr>
                <w:szCs w:val="21"/>
              </w:rPr>
              <w:t xml:space="preserve">. </w:t>
            </w:r>
            <w:r>
              <w:rPr>
                <w:szCs w:val="21"/>
              </w:rPr>
              <w:br/>
            </w:r>
            <w:r w:rsidR="008223B0">
              <w:rPr>
                <w:szCs w:val="21"/>
              </w:rPr>
              <w:t>Summe</w:t>
            </w:r>
            <w:r w:rsidR="00556D62">
              <w:rPr>
                <w:szCs w:val="21"/>
              </w:rPr>
              <w:t xml:space="preserve">ret </w:t>
            </w:r>
            <w:r w:rsidR="008223B0">
              <w:rPr>
                <w:szCs w:val="21"/>
              </w:rPr>
              <w:t>på boligorganisationsniveau.</w:t>
            </w:r>
          </w:p>
        </w:tc>
        <w:tc>
          <w:tcPr>
            <w:tcW w:w="3118" w:type="dxa"/>
          </w:tcPr>
          <w:p w14:paraId="6A8AEAFF" w14:textId="77777777" w:rsidR="0006476E" w:rsidRDefault="0006476E" w:rsidP="00CB5B31">
            <w:pPr>
              <w:spacing w:after="240"/>
              <w:rPr>
                <w:rFonts w:eastAsia="Times New Roman"/>
                <w:szCs w:val="21"/>
                <w:lang w:eastAsia="da-DK"/>
              </w:rPr>
            </w:pPr>
            <w:r>
              <w:rPr>
                <w:rFonts w:eastAsia="Times New Roman"/>
                <w:szCs w:val="21"/>
                <w:lang w:eastAsia="da-DK"/>
              </w:rPr>
              <w:t>Danmarks Statistik</w:t>
            </w:r>
          </w:p>
        </w:tc>
      </w:tr>
      <w:tr w:rsidR="003F0134" w14:paraId="2B9ADFAD" w14:textId="77777777" w:rsidTr="003F0134">
        <w:tc>
          <w:tcPr>
            <w:tcW w:w="2411" w:type="dxa"/>
          </w:tcPr>
          <w:p w14:paraId="62D5FF51" w14:textId="77777777" w:rsidR="0006476E" w:rsidRDefault="0006476E" w:rsidP="003F0134">
            <w:pPr>
              <w:rPr>
                <w:rFonts w:eastAsia="Times New Roman"/>
                <w:szCs w:val="21"/>
                <w:lang w:eastAsia="da-DK"/>
              </w:rPr>
            </w:pPr>
            <w:r w:rsidRPr="00CB5B31">
              <w:rPr>
                <w:rFonts w:eastAsia="Times New Roman"/>
                <w:szCs w:val="21"/>
                <w:lang w:eastAsia="da-DK"/>
              </w:rPr>
              <w:t>Andel udenfor arbejdsmarkedet</w:t>
            </w:r>
          </w:p>
        </w:tc>
        <w:tc>
          <w:tcPr>
            <w:tcW w:w="9497" w:type="dxa"/>
          </w:tcPr>
          <w:p w14:paraId="46B0C4AE" w14:textId="00452182" w:rsidR="008223B0" w:rsidRDefault="0006476E" w:rsidP="003F0134">
            <w:pPr>
              <w:spacing w:after="240"/>
              <w:rPr>
                <w:szCs w:val="21"/>
              </w:rPr>
            </w:pPr>
            <w:r w:rsidRPr="001834EF">
              <w:rPr>
                <w:szCs w:val="21"/>
              </w:rPr>
              <w:t>Antallet af fuldtidspersoner</w:t>
            </w:r>
            <w:r>
              <w:rPr>
                <w:szCs w:val="21"/>
              </w:rPr>
              <w:t xml:space="preserve"> mellem 1</w:t>
            </w:r>
            <w:r w:rsidR="004A390D">
              <w:rPr>
                <w:szCs w:val="21"/>
              </w:rPr>
              <w:t>6</w:t>
            </w:r>
            <w:r>
              <w:rPr>
                <w:szCs w:val="21"/>
              </w:rPr>
              <w:t>-64 år</w:t>
            </w:r>
            <w:r w:rsidRPr="001834EF">
              <w:rPr>
                <w:szCs w:val="21"/>
              </w:rPr>
              <w:t xml:space="preserve"> udenfor arbejdsmarkedet</w:t>
            </w:r>
            <w:r w:rsidR="008223B0">
              <w:rPr>
                <w:szCs w:val="21"/>
              </w:rPr>
              <w:t xml:space="preserve"> </w:t>
            </w:r>
            <w:r>
              <w:rPr>
                <w:szCs w:val="21"/>
              </w:rPr>
              <w:t>set ift. a</w:t>
            </w:r>
            <w:r w:rsidRPr="001834EF">
              <w:rPr>
                <w:szCs w:val="21"/>
              </w:rPr>
              <w:t>n</w:t>
            </w:r>
            <w:r>
              <w:rPr>
                <w:szCs w:val="21"/>
              </w:rPr>
              <w:t xml:space="preserve">tallet af beboere i afdelingen </w:t>
            </w:r>
            <w:r w:rsidRPr="001834EF">
              <w:rPr>
                <w:szCs w:val="21"/>
              </w:rPr>
              <w:t>mellem 1</w:t>
            </w:r>
            <w:r w:rsidR="004A390D">
              <w:rPr>
                <w:szCs w:val="21"/>
              </w:rPr>
              <w:t>6</w:t>
            </w:r>
            <w:r w:rsidRPr="001834EF">
              <w:rPr>
                <w:szCs w:val="21"/>
              </w:rPr>
              <w:t xml:space="preserve"> og 64 år, begge aldre inkl.</w:t>
            </w:r>
            <w:r w:rsidR="002F2AB7">
              <w:rPr>
                <w:szCs w:val="21"/>
              </w:rPr>
              <w:t xml:space="preserve"> </w:t>
            </w:r>
            <w:r w:rsidR="008223B0">
              <w:rPr>
                <w:szCs w:val="21"/>
              </w:rPr>
              <w:t>Summe</w:t>
            </w:r>
            <w:r w:rsidR="00556D62">
              <w:rPr>
                <w:szCs w:val="21"/>
              </w:rPr>
              <w:t xml:space="preserve">ret </w:t>
            </w:r>
            <w:r w:rsidR="008223B0">
              <w:rPr>
                <w:szCs w:val="21"/>
              </w:rPr>
              <w:t>på boligorganisationsniveau.</w:t>
            </w:r>
          </w:p>
          <w:p w14:paraId="06762387" w14:textId="77777777" w:rsidR="002F2AB7" w:rsidRPr="009D7147" w:rsidRDefault="002F2AB7" w:rsidP="002F2AB7">
            <w:pPr>
              <w:autoSpaceDE w:val="0"/>
              <w:autoSpaceDN w:val="0"/>
              <w:rPr>
                <w:szCs w:val="21"/>
              </w:rPr>
            </w:pPr>
            <w:r>
              <w:rPr>
                <w:szCs w:val="21"/>
              </w:rPr>
              <w:t>Beboere udenfor arbejdsmarkedet er</w:t>
            </w:r>
            <w:r w:rsidRPr="009D7147">
              <w:rPr>
                <w:szCs w:val="21"/>
              </w:rPr>
              <w:t xml:space="preserve"> defineret</w:t>
            </w:r>
            <w:r>
              <w:rPr>
                <w:szCs w:val="21"/>
              </w:rPr>
              <w:t xml:space="preserve"> </w:t>
            </w:r>
            <w:r w:rsidRPr="009D7147">
              <w:rPr>
                <w:szCs w:val="21"/>
              </w:rPr>
              <w:t xml:space="preserve">som personer (omregnet til fuldtidspersoner) som tilhører én af </w:t>
            </w:r>
            <w:r>
              <w:rPr>
                <w:szCs w:val="21"/>
              </w:rPr>
              <w:t xml:space="preserve">nedenstående </w:t>
            </w:r>
            <w:r w:rsidRPr="009D7147">
              <w:rPr>
                <w:szCs w:val="21"/>
              </w:rPr>
              <w:t>5 grupper:</w:t>
            </w:r>
          </w:p>
          <w:p w14:paraId="70F4F3B8" w14:textId="77777777" w:rsidR="0094443D" w:rsidRPr="0094443D" w:rsidRDefault="002F2AB7" w:rsidP="0094443D">
            <w:pPr>
              <w:rPr>
                <w:szCs w:val="21"/>
              </w:rPr>
            </w:pPr>
            <w:r w:rsidRPr="009D7147">
              <w:rPr>
                <w:szCs w:val="21"/>
              </w:rPr>
              <w:t xml:space="preserve">Gruppe A: </w:t>
            </w:r>
            <w:r w:rsidR="0094443D" w:rsidRPr="0094443D">
              <w:rPr>
                <w:szCs w:val="21"/>
              </w:rPr>
              <w:t>Samtlige registrerede nettoledige (inkl. dagpengemodtagere, arbejdsmarkedsydelse og kontanthjælps-/uddannelseshjælps-/ og integrationsydelsesmodtagere, der visiteres som jobparate eller åbenlyst uddannelsesparate).</w:t>
            </w:r>
          </w:p>
          <w:p w14:paraId="59A26256" w14:textId="1BCD9C2A" w:rsidR="0094443D" w:rsidRPr="0094443D" w:rsidRDefault="002F2AB7" w:rsidP="0094443D">
            <w:pPr>
              <w:rPr>
                <w:szCs w:val="21"/>
              </w:rPr>
            </w:pPr>
            <w:r w:rsidRPr="009D7147">
              <w:rPr>
                <w:szCs w:val="21"/>
              </w:rPr>
              <w:t xml:space="preserve">Gruppe B: </w:t>
            </w:r>
            <w:r w:rsidR="0094443D" w:rsidRPr="0094443D">
              <w:rPr>
                <w:szCs w:val="21"/>
              </w:rPr>
              <w:t>Samtlige aktiverede på offentlig forsørgelse, dog ikke aktiverede på sygedagpenge.</w:t>
            </w:r>
          </w:p>
          <w:p w14:paraId="45A35C53" w14:textId="77777777" w:rsidR="0094443D" w:rsidRPr="0094443D" w:rsidRDefault="0094443D" w:rsidP="0094443D">
            <w:pPr>
              <w:rPr>
                <w:szCs w:val="21"/>
              </w:rPr>
            </w:pPr>
            <w:r w:rsidRPr="0094443D">
              <w:rPr>
                <w:szCs w:val="21"/>
              </w:rPr>
              <w:t xml:space="preserve">Herudover samtlige modtagere af revalideringsydelse og ledighedsydelse. </w:t>
            </w:r>
          </w:p>
          <w:p w14:paraId="35BFF562" w14:textId="77777777" w:rsidR="0094443D" w:rsidRPr="0094443D" w:rsidRDefault="002F2AB7" w:rsidP="0094443D">
            <w:pPr>
              <w:rPr>
                <w:szCs w:val="21"/>
              </w:rPr>
            </w:pPr>
            <w:r w:rsidRPr="009D7147">
              <w:rPr>
                <w:szCs w:val="21"/>
              </w:rPr>
              <w:t xml:space="preserve">Gruppe C: </w:t>
            </w:r>
            <w:r w:rsidR="0094443D" w:rsidRPr="0094443D">
              <w:rPr>
                <w:szCs w:val="21"/>
              </w:rPr>
              <w:t>Passive kontanthjælpsmodtagere og uddannelseshjælpsmodtagere (uden ledighed eller aktivering) samt integrationsydelsesmodtagere (uden ledighed eller aktivering).</w:t>
            </w:r>
          </w:p>
          <w:p w14:paraId="20358C04" w14:textId="77777777" w:rsidR="0094443D" w:rsidRPr="0094443D" w:rsidRDefault="0094443D" w:rsidP="0094443D">
            <w:pPr>
              <w:rPr>
                <w:szCs w:val="21"/>
              </w:rPr>
            </w:pPr>
            <w:r w:rsidRPr="0094443D">
              <w:rPr>
                <w:szCs w:val="21"/>
              </w:rPr>
              <w:t xml:space="preserve">Herudover samtlige personer i ressourceforløb og jobafklaring (uden aktivering). </w:t>
            </w:r>
          </w:p>
          <w:p w14:paraId="6D39F93C" w14:textId="77777777" w:rsidR="0094443D" w:rsidRPr="0094443D" w:rsidRDefault="002F2AB7" w:rsidP="0094443D">
            <w:pPr>
              <w:rPr>
                <w:szCs w:val="21"/>
              </w:rPr>
            </w:pPr>
            <w:r w:rsidRPr="009D7147">
              <w:rPr>
                <w:szCs w:val="21"/>
              </w:rPr>
              <w:t xml:space="preserve">Gruppe D: </w:t>
            </w:r>
            <w:r w:rsidR="0094443D" w:rsidRPr="0094443D">
              <w:rPr>
                <w:szCs w:val="21"/>
              </w:rPr>
              <w:t>Personer på sygedagpenge fra ledighed herunder aktiverede på sygedagpenge fra ledighed.</w:t>
            </w:r>
          </w:p>
          <w:p w14:paraId="0E8F8DBD" w14:textId="6894CD1C" w:rsidR="002F2AB7" w:rsidRPr="00AC15A1" w:rsidRDefault="002F2AB7" w:rsidP="00AC15A1">
            <w:pPr>
              <w:rPr>
                <w:szCs w:val="21"/>
              </w:rPr>
            </w:pPr>
            <w:r w:rsidRPr="009D7147">
              <w:rPr>
                <w:szCs w:val="21"/>
              </w:rPr>
              <w:t xml:space="preserve">Gruppe E: </w:t>
            </w:r>
            <w:r w:rsidR="0094443D" w:rsidRPr="0094443D">
              <w:rPr>
                <w:szCs w:val="21"/>
              </w:rPr>
              <w:t>Personer på førtidspension (herunder også personer i skånejob).</w:t>
            </w:r>
          </w:p>
        </w:tc>
        <w:tc>
          <w:tcPr>
            <w:tcW w:w="3118" w:type="dxa"/>
          </w:tcPr>
          <w:p w14:paraId="343D3805" w14:textId="77777777" w:rsidR="0006476E" w:rsidRDefault="0006476E" w:rsidP="00CB5B31">
            <w:pPr>
              <w:spacing w:after="240"/>
              <w:rPr>
                <w:rFonts w:eastAsia="Times New Roman"/>
                <w:szCs w:val="21"/>
                <w:lang w:eastAsia="da-DK"/>
              </w:rPr>
            </w:pPr>
            <w:r>
              <w:rPr>
                <w:rFonts w:eastAsia="Times New Roman"/>
                <w:szCs w:val="21"/>
                <w:lang w:eastAsia="da-DK"/>
              </w:rPr>
              <w:t>Danmarks Statistik</w:t>
            </w:r>
          </w:p>
        </w:tc>
      </w:tr>
      <w:tr w:rsidR="003F0134" w14:paraId="631F123F" w14:textId="77777777" w:rsidTr="003F0134">
        <w:tc>
          <w:tcPr>
            <w:tcW w:w="2411" w:type="dxa"/>
          </w:tcPr>
          <w:p w14:paraId="6F83AABD" w14:textId="77777777" w:rsidR="0006476E" w:rsidRPr="00CB5B31" w:rsidRDefault="0006476E" w:rsidP="006C56C8">
            <w:pPr>
              <w:rPr>
                <w:rFonts w:eastAsia="Times New Roman"/>
                <w:szCs w:val="21"/>
                <w:lang w:eastAsia="da-DK"/>
              </w:rPr>
            </w:pPr>
            <w:r w:rsidRPr="00CB5B31">
              <w:rPr>
                <w:rFonts w:eastAsia="Times New Roman"/>
                <w:szCs w:val="21"/>
                <w:lang w:eastAsia="da-DK"/>
              </w:rPr>
              <w:lastRenderedPageBreak/>
              <w:t>Indkomst ift. gennemsnitlig landsindkomst</w:t>
            </w:r>
          </w:p>
          <w:p w14:paraId="293A0C06" w14:textId="77777777" w:rsidR="0006476E" w:rsidRDefault="0006476E" w:rsidP="00CB5B31">
            <w:pPr>
              <w:spacing w:after="240"/>
              <w:rPr>
                <w:rFonts w:eastAsia="Times New Roman"/>
                <w:szCs w:val="21"/>
                <w:lang w:eastAsia="da-DK"/>
              </w:rPr>
            </w:pPr>
          </w:p>
        </w:tc>
        <w:tc>
          <w:tcPr>
            <w:tcW w:w="9497" w:type="dxa"/>
          </w:tcPr>
          <w:p w14:paraId="32EC034B" w14:textId="77777777" w:rsidR="00E31181" w:rsidRDefault="00850A9A" w:rsidP="002C7A41">
            <w:pPr>
              <w:rPr>
                <w:szCs w:val="21"/>
              </w:rPr>
            </w:pPr>
            <w:r>
              <w:rPr>
                <w:szCs w:val="21"/>
              </w:rPr>
              <w:t>Kun fuldt skattepligtige personer på 18 år og derover er medtaget i beregningen. Indkomsten, der anvendes er personindkomst i alt</w:t>
            </w:r>
            <w:r w:rsidR="002C7A41" w:rsidRPr="0050326E">
              <w:rPr>
                <w:szCs w:val="21"/>
              </w:rPr>
              <w:t xml:space="preserve"> ekskl. beregnet lejeværdi af egen bolig og før fradrag af renteudgifter.</w:t>
            </w:r>
          </w:p>
          <w:p w14:paraId="2347282B" w14:textId="77777777" w:rsidR="00850A9A" w:rsidRDefault="00850A9A" w:rsidP="002C7A41">
            <w:pPr>
              <w:rPr>
                <w:szCs w:val="21"/>
              </w:rPr>
            </w:pPr>
          </w:p>
          <w:p w14:paraId="7BDCBDE1" w14:textId="77777777" w:rsidR="0006476E" w:rsidRDefault="00E31181" w:rsidP="00E31181">
            <w:pPr>
              <w:rPr>
                <w:szCs w:val="21"/>
              </w:rPr>
            </w:pPr>
            <w:r>
              <w:rPr>
                <w:szCs w:val="21"/>
              </w:rPr>
              <w:t>H</w:t>
            </w:r>
            <w:r w:rsidR="002C7A41" w:rsidRPr="0050326E">
              <w:rPr>
                <w:szCs w:val="21"/>
              </w:rPr>
              <w:t xml:space="preserve">vis afdelingen/organisationens gennemsnitlige indkomst pr. person </w:t>
            </w:r>
            <w:r w:rsidR="00850A9A">
              <w:rPr>
                <w:szCs w:val="21"/>
              </w:rPr>
              <w:t xml:space="preserve">er </w:t>
            </w:r>
            <w:r w:rsidR="002C7A41" w:rsidRPr="0050326E">
              <w:rPr>
                <w:szCs w:val="21"/>
              </w:rPr>
              <w:t>større end landsgennemsnittet er værdien af andelen større end 1. Er dette tilfældet er andelen sat til 1. Er afdelingens/organisations gennemsnitlige indkomst pr. person under 25 % af landsgennemsnittet sættes den til 25 %.</w:t>
            </w:r>
          </w:p>
          <w:p w14:paraId="5E6D4CC9" w14:textId="77777777" w:rsidR="00E31181" w:rsidRDefault="00E31181" w:rsidP="00E31181">
            <w:pPr>
              <w:rPr>
                <w:rFonts w:eastAsia="Times New Roman"/>
                <w:szCs w:val="21"/>
                <w:lang w:eastAsia="da-DK"/>
              </w:rPr>
            </w:pPr>
          </w:p>
        </w:tc>
        <w:tc>
          <w:tcPr>
            <w:tcW w:w="3118" w:type="dxa"/>
          </w:tcPr>
          <w:p w14:paraId="2227922A" w14:textId="77777777" w:rsidR="0006476E" w:rsidRDefault="0006476E" w:rsidP="00CB5B31">
            <w:pPr>
              <w:spacing w:after="240"/>
              <w:rPr>
                <w:rFonts w:eastAsia="Times New Roman"/>
                <w:szCs w:val="21"/>
                <w:lang w:eastAsia="da-DK"/>
              </w:rPr>
            </w:pPr>
            <w:r>
              <w:rPr>
                <w:rFonts w:eastAsia="Times New Roman"/>
                <w:szCs w:val="21"/>
                <w:lang w:eastAsia="da-DK"/>
              </w:rPr>
              <w:t>Danmarks Statistik</w:t>
            </w:r>
          </w:p>
        </w:tc>
      </w:tr>
      <w:tr w:rsidR="003F0134" w14:paraId="6878EC1E" w14:textId="77777777" w:rsidTr="003F0134">
        <w:tc>
          <w:tcPr>
            <w:tcW w:w="2411" w:type="dxa"/>
          </w:tcPr>
          <w:p w14:paraId="3A0BF58C" w14:textId="77777777" w:rsidR="0006476E" w:rsidRDefault="0006476E" w:rsidP="003F0134">
            <w:pPr>
              <w:spacing w:after="240"/>
              <w:rPr>
                <w:rFonts w:eastAsia="Times New Roman"/>
                <w:szCs w:val="21"/>
                <w:lang w:eastAsia="da-DK"/>
              </w:rPr>
            </w:pPr>
            <w:r w:rsidRPr="00CB5B31">
              <w:rPr>
                <w:rFonts w:eastAsia="Times New Roman"/>
                <w:szCs w:val="21"/>
                <w:lang w:eastAsia="da-DK"/>
              </w:rPr>
              <w:t>Andel personer uden uddannelse/uoplyst uddannelse</w:t>
            </w:r>
          </w:p>
        </w:tc>
        <w:tc>
          <w:tcPr>
            <w:tcW w:w="9497" w:type="dxa"/>
          </w:tcPr>
          <w:p w14:paraId="77D7BC98" w14:textId="7B0A3F57" w:rsidR="0006476E" w:rsidRDefault="002C7A41" w:rsidP="00DF71D9">
            <w:pPr>
              <w:spacing w:after="240"/>
              <w:rPr>
                <w:rFonts w:eastAsia="Times New Roman"/>
                <w:szCs w:val="21"/>
                <w:lang w:eastAsia="da-DK"/>
              </w:rPr>
            </w:pPr>
            <w:r>
              <w:rPr>
                <w:szCs w:val="21"/>
              </w:rPr>
              <w:t>Det samlede a</w:t>
            </w:r>
            <w:r w:rsidR="0006476E" w:rsidRPr="001834EF">
              <w:rPr>
                <w:szCs w:val="21"/>
              </w:rPr>
              <w:t xml:space="preserve">ntal personer </w:t>
            </w:r>
            <w:r w:rsidR="00AF4604">
              <w:rPr>
                <w:szCs w:val="21"/>
              </w:rPr>
              <w:t xml:space="preserve">på 15 år og derover </w:t>
            </w:r>
            <w:r w:rsidR="0006476E" w:rsidRPr="001834EF">
              <w:rPr>
                <w:szCs w:val="21"/>
              </w:rPr>
              <w:t>med uoplyst uddannelse eller grundskole so</w:t>
            </w:r>
            <w:r w:rsidR="0006476E">
              <w:rPr>
                <w:szCs w:val="21"/>
              </w:rPr>
              <w:t xml:space="preserve">m højeste fuldførte uddannelse set ift. </w:t>
            </w:r>
            <w:r w:rsidR="00DF71D9">
              <w:rPr>
                <w:szCs w:val="21"/>
              </w:rPr>
              <w:t>d</w:t>
            </w:r>
            <w:r>
              <w:rPr>
                <w:szCs w:val="21"/>
              </w:rPr>
              <w:t xml:space="preserve">et samlede </w:t>
            </w:r>
            <w:r w:rsidR="008223B0">
              <w:rPr>
                <w:szCs w:val="21"/>
              </w:rPr>
              <w:t>antal beboere</w:t>
            </w:r>
            <w:r w:rsidR="00AF4604">
              <w:rPr>
                <w:szCs w:val="21"/>
              </w:rPr>
              <w:t xml:space="preserve"> på 15 år og derover</w:t>
            </w:r>
            <w:r w:rsidR="0006476E">
              <w:rPr>
                <w:szCs w:val="21"/>
              </w:rPr>
              <w:t>. P</w:t>
            </w:r>
            <w:r w:rsidR="0006476E" w:rsidRPr="001834EF">
              <w:rPr>
                <w:szCs w:val="21"/>
              </w:rPr>
              <w:t>ersoner under uddannelse er ikke medtaget.</w:t>
            </w:r>
            <w:r w:rsidR="00AF4604">
              <w:rPr>
                <w:szCs w:val="21"/>
              </w:rPr>
              <w:t xml:space="preserve"> </w:t>
            </w:r>
            <w:r w:rsidR="008223B0">
              <w:rPr>
                <w:szCs w:val="21"/>
              </w:rPr>
              <w:t>Summe</w:t>
            </w:r>
            <w:r w:rsidR="00556D62">
              <w:rPr>
                <w:szCs w:val="21"/>
              </w:rPr>
              <w:t>ret</w:t>
            </w:r>
            <w:r w:rsidR="008223B0">
              <w:rPr>
                <w:szCs w:val="21"/>
              </w:rPr>
              <w:t xml:space="preserve"> på boligorganisationsniveau.</w:t>
            </w:r>
          </w:p>
        </w:tc>
        <w:tc>
          <w:tcPr>
            <w:tcW w:w="3118" w:type="dxa"/>
          </w:tcPr>
          <w:p w14:paraId="2A6B1106" w14:textId="77777777" w:rsidR="0006476E" w:rsidRDefault="0006476E" w:rsidP="00CB5B31">
            <w:pPr>
              <w:spacing w:after="240"/>
              <w:rPr>
                <w:rFonts w:eastAsia="Times New Roman"/>
                <w:szCs w:val="21"/>
                <w:lang w:eastAsia="da-DK"/>
              </w:rPr>
            </w:pPr>
            <w:r>
              <w:rPr>
                <w:rFonts w:eastAsia="Times New Roman"/>
                <w:szCs w:val="21"/>
                <w:lang w:eastAsia="da-DK"/>
              </w:rPr>
              <w:t>Danmarks Statistik</w:t>
            </w:r>
          </w:p>
        </w:tc>
      </w:tr>
    </w:tbl>
    <w:p w14:paraId="02072C0B" w14:textId="77777777" w:rsidR="00CB5B31" w:rsidRPr="00CB5B31" w:rsidRDefault="00CB5B31" w:rsidP="00CB5B31">
      <w:pPr>
        <w:spacing w:after="240" w:line="240" w:lineRule="auto"/>
        <w:rPr>
          <w:rFonts w:eastAsia="Times New Roman"/>
          <w:szCs w:val="21"/>
          <w:lang w:eastAsia="da-DK"/>
        </w:rPr>
      </w:pPr>
    </w:p>
    <w:p w14:paraId="6831601C" w14:textId="77777777" w:rsidR="004E6984" w:rsidRPr="004E6984" w:rsidRDefault="004E6984" w:rsidP="004E6984">
      <w:pPr>
        <w:ind w:left="-851"/>
        <w:rPr>
          <w:i/>
          <w:szCs w:val="21"/>
        </w:rPr>
      </w:pPr>
      <w:r w:rsidRPr="004E6984">
        <w:rPr>
          <w:i/>
          <w:szCs w:val="21"/>
        </w:rPr>
        <w:t xml:space="preserve">Tabel </w:t>
      </w:r>
      <w:r>
        <w:rPr>
          <w:i/>
          <w:szCs w:val="21"/>
        </w:rPr>
        <w:t>2</w:t>
      </w:r>
      <w:r w:rsidRPr="004E6984">
        <w:rPr>
          <w:i/>
          <w:szCs w:val="21"/>
        </w:rPr>
        <w:t>: Data for følgende baggrundsvariable indgår i udsøgningen af t</w:t>
      </w:r>
      <w:r>
        <w:rPr>
          <w:i/>
          <w:szCs w:val="21"/>
        </w:rPr>
        <w:t>villinger på afdelings</w:t>
      </w:r>
      <w:r w:rsidRPr="004E6984">
        <w:rPr>
          <w:i/>
          <w:szCs w:val="21"/>
        </w:rPr>
        <w:t>niveau:</w:t>
      </w:r>
    </w:p>
    <w:tbl>
      <w:tblPr>
        <w:tblStyle w:val="Tabel-Gitter"/>
        <w:tblW w:w="15026" w:type="dxa"/>
        <w:tblInd w:w="-743" w:type="dxa"/>
        <w:tblLook w:val="04A0" w:firstRow="1" w:lastRow="0" w:firstColumn="1" w:lastColumn="0" w:noHBand="0" w:noVBand="1"/>
      </w:tblPr>
      <w:tblGrid>
        <w:gridCol w:w="3542"/>
        <w:gridCol w:w="8366"/>
        <w:gridCol w:w="3118"/>
      </w:tblGrid>
      <w:tr w:rsidR="0006476E" w14:paraId="39473851" w14:textId="77777777" w:rsidTr="003F0134">
        <w:tc>
          <w:tcPr>
            <w:tcW w:w="3542" w:type="dxa"/>
          </w:tcPr>
          <w:p w14:paraId="49410244" w14:textId="77777777" w:rsidR="0006476E" w:rsidRPr="00524D47" w:rsidRDefault="0006476E" w:rsidP="00092E7B">
            <w:pPr>
              <w:spacing w:after="240"/>
              <w:rPr>
                <w:rFonts w:eastAsia="Times New Roman"/>
                <w:b/>
                <w:szCs w:val="21"/>
                <w:lang w:eastAsia="da-DK"/>
              </w:rPr>
            </w:pPr>
            <w:r w:rsidRPr="00524D47">
              <w:rPr>
                <w:rFonts w:eastAsia="Times New Roman"/>
                <w:b/>
                <w:szCs w:val="21"/>
                <w:lang w:eastAsia="da-DK"/>
              </w:rPr>
              <w:t>Baggrundsvariabel</w:t>
            </w:r>
          </w:p>
        </w:tc>
        <w:tc>
          <w:tcPr>
            <w:tcW w:w="8366" w:type="dxa"/>
          </w:tcPr>
          <w:p w14:paraId="5E00D15A" w14:textId="77777777" w:rsidR="0006476E" w:rsidRPr="00524D47" w:rsidRDefault="0006476E" w:rsidP="00092E7B">
            <w:pPr>
              <w:spacing w:after="240"/>
              <w:rPr>
                <w:rFonts w:eastAsia="Times New Roman"/>
                <w:b/>
                <w:szCs w:val="21"/>
                <w:lang w:eastAsia="da-DK"/>
              </w:rPr>
            </w:pPr>
            <w:r w:rsidRPr="00524D47">
              <w:rPr>
                <w:rFonts w:eastAsia="Times New Roman"/>
                <w:b/>
                <w:szCs w:val="21"/>
                <w:lang w:eastAsia="da-DK"/>
              </w:rPr>
              <w:t>Definition af baggrundsvariabel</w:t>
            </w:r>
          </w:p>
        </w:tc>
        <w:tc>
          <w:tcPr>
            <w:tcW w:w="3118" w:type="dxa"/>
          </w:tcPr>
          <w:p w14:paraId="606C640D" w14:textId="77777777" w:rsidR="0006476E" w:rsidRPr="00524D47" w:rsidRDefault="00524D47" w:rsidP="00092E7B">
            <w:pPr>
              <w:spacing w:after="240"/>
              <w:rPr>
                <w:rFonts w:eastAsia="Times New Roman"/>
                <w:b/>
                <w:szCs w:val="21"/>
                <w:lang w:eastAsia="da-DK"/>
              </w:rPr>
            </w:pPr>
            <w:r>
              <w:rPr>
                <w:rFonts w:eastAsia="Times New Roman"/>
                <w:b/>
                <w:szCs w:val="21"/>
                <w:lang w:eastAsia="da-DK"/>
              </w:rPr>
              <w:t>Datakilde</w:t>
            </w:r>
          </w:p>
        </w:tc>
      </w:tr>
      <w:tr w:rsidR="0006476E" w14:paraId="552F674F" w14:textId="77777777" w:rsidTr="003F0134">
        <w:tc>
          <w:tcPr>
            <w:tcW w:w="3542" w:type="dxa"/>
          </w:tcPr>
          <w:p w14:paraId="7C483CFC" w14:textId="77777777" w:rsidR="0006476E" w:rsidRPr="00CB5B31" w:rsidRDefault="0006476E" w:rsidP="00092E7B">
            <w:pPr>
              <w:rPr>
                <w:rFonts w:eastAsia="Times New Roman"/>
                <w:szCs w:val="21"/>
                <w:lang w:eastAsia="da-DK"/>
              </w:rPr>
            </w:pPr>
            <w:r w:rsidRPr="00CB5B31">
              <w:rPr>
                <w:rFonts w:eastAsia="Times New Roman"/>
                <w:szCs w:val="21"/>
                <w:lang w:eastAsia="da-DK"/>
              </w:rPr>
              <w:t>Antal lejemålsenheder</w:t>
            </w:r>
          </w:p>
          <w:p w14:paraId="7A588D46" w14:textId="77777777" w:rsidR="0006476E" w:rsidRDefault="0006476E" w:rsidP="00092E7B">
            <w:pPr>
              <w:spacing w:after="240"/>
              <w:rPr>
                <w:rFonts w:eastAsia="Times New Roman"/>
                <w:szCs w:val="21"/>
                <w:lang w:eastAsia="da-DK"/>
              </w:rPr>
            </w:pPr>
          </w:p>
        </w:tc>
        <w:tc>
          <w:tcPr>
            <w:tcW w:w="8366" w:type="dxa"/>
          </w:tcPr>
          <w:p w14:paraId="3230AED7" w14:textId="77777777" w:rsidR="0006476E" w:rsidRPr="00556D62" w:rsidRDefault="00556D62" w:rsidP="00E14F80">
            <w:pPr>
              <w:spacing w:after="240"/>
              <w:rPr>
                <w:rFonts w:eastAsiaTheme="minorHAnsi"/>
              </w:rPr>
            </w:pPr>
            <w:r>
              <w:t>Lejemålsenheder er summen af antal boliglejemål (1 bolig = 1 lejemålsenhed.), erhvervslejemål og institutioner (1 lejemålsenhed pr. påbegyndt 60 m²) og garager/carporte (tæller 1/5 lejemålsenhed).</w:t>
            </w:r>
          </w:p>
        </w:tc>
        <w:tc>
          <w:tcPr>
            <w:tcW w:w="3118" w:type="dxa"/>
          </w:tcPr>
          <w:p w14:paraId="10B0440D" w14:textId="77777777" w:rsidR="0006476E" w:rsidRDefault="0006476E" w:rsidP="00092E7B">
            <w:pPr>
              <w:spacing w:after="240"/>
              <w:rPr>
                <w:rFonts w:eastAsia="Times New Roman"/>
                <w:szCs w:val="21"/>
                <w:lang w:eastAsia="da-DK"/>
              </w:rPr>
            </w:pPr>
            <w:r>
              <w:rPr>
                <w:rFonts w:eastAsia="Times New Roman"/>
                <w:szCs w:val="21"/>
                <w:lang w:eastAsia="da-DK"/>
              </w:rPr>
              <w:t>Landsbyggefondens Stamdatabase + Regnskabsdatabase</w:t>
            </w:r>
          </w:p>
        </w:tc>
      </w:tr>
      <w:tr w:rsidR="0006476E" w14:paraId="1A706200" w14:textId="77777777" w:rsidTr="003F0134">
        <w:tc>
          <w:tcPr>
            <w:tcW w:w="3542" w:type="dxa"/>
          </w:tcPr>
          <w:p w14:paraId="169B3192" w14:textId="77777777" w:rsidR="0006476E" w:rsidRPr="00CB5B31" w:rsidRDefault="008223B0" w:rsidP="00092E7B">
            <w:pPr>
              <w:rPr>
                <w:rFonts w:eastAsia="Times New Roman"/>
                <w:szCs w:val="21"/>
                <w:lang w:eastAsia="da-DK"/>
              </w:rPr>
            </w:pPr>
            <w:r>
              <w:rPr>
                <w:rFonts w:eastAsia="Times New Roman"/>
                <w:szCs w:val="21"/>
                <w:lang w:eastAsia="da-DK"/>
              </w:rPr>
              <w:t>Ibrugtagelsesår</w:t>
            </w:r>
          </w:p>
          <w:p w14:paraId="5AC968C8" w14:textId="77777777" w:rsidR="0006476E" w:rsidRDefault="0006476E" w:rsidP="00092E7B">
            <w:pPr>
              <w:spacing w:after="240"/>
              <w:rPr>
                <w:rFonts w:eastAsia="Times New Roman"/>
                <w:szCs w:val="21"/>
                <w:lang w:eastAsia="da-DK"/>
              </w:rPr>
            </w:pPr>
          </w:p>
        </w:tc>
        <w:tc>
          <w:tcPr>
            <w:tcW w:w="8366" w:type="dxa"/>
          </w:tcPr>
          <w:p w14:paraId="7BC5AA14" w14:textId="77777777" w:rsidR="0006476E" w:rsidRDefault="008223B0" w:rsidP="00556D62">
            <w:pPr>
              <w:jc w:val="both"/>
            </w:pPr>
            <w:r>
              <w:t>Afdelingers ibrugtagelsesår opgøres efter ibrugtagelsesåret for det første ibrugtagne byggeafsnit. Afdelinger uden tilknyttet ibrugtagelsesår indgår ikke.</w:t>
            </w:r>
          </w:p>
          <w:p w14:paraId="691AB0E8" w14:textId="77777777" w:rsidR="00556D62" w:rsidRDefault="00556D62" w:rsidP="00556D62">
            <w:pPr>
              <w:jc w:val="both"/>
              <w:rPr>
                <w:rFonts w:eastAsia="Times New Roman"/>
                <w:szCs w:val="21"/>
                <w:lang w:eastAsia="da-DK"/>
              </w:rPr>
            </w:pPr>
          </w:p>
        </w:tc>
        <w:tc>
          <w:tcPr>
            <w:tcW w:w="3118" w:type="dxa"/>
          </w:tcPr>
          <w:p w14:paraId="4001A6FF" w14:textId="77777777" w:rsidR="0006476E" w:rsidRDefault="0006476E" w:rsidP="008223B0">
            <w:pPr>
              <w:spacing w:after="240"/>
              <w:rPr>
                <w:rFonts w:eastAsia="Times New Roman"/>
                <w:szCs w:val="21"/>
                <w:lang w:eastAsia="da-DK"/>
              </w:rPr>
            </w:pPr>
            <w:r>
              <w:rPr>
                <w:rFonts w:eastAsia="Times New Roman"/>
                <w:szCs w:val="21"/>
                <w:lang w:eastAsia="da-DK"/>
              </w:rPr>
              <w:t xml:space="preserve">Landsbyggefondens Stamdatabase </w:t>
            </w:r>
          </w:p>
        </w:tc>
      </w:tr>
      <w:tr w:rsidR="0006476E" w14:paraId="58774C8D" w14:textId="77777777" w:rsidTr="003F0134">
        <w:tc>
          <w:tcPr>
            <w:tcW w:w="3542" w:type="dxa"/>
          </w:tcPr>
          <w:p w14:paraId="646C59E9" w14:textId="77777777" w:rsidR="0006476E" w:rsidRPr="00CB5B31" w:rsidRDefault="0006476E" w:rsidP="00092E7B">
            <w:pPr>
              <w:rPr>
                <w:rFonts w:eastAsia="Times New Roman"/>
                <w:szCs w:val="21"/>
                <w:lang w:eastAsia="da-DK"/>
              </w:rPr>
            </w:pPr>
            <w:r w:rsidRPr="00CB5B31">
              <w:rPr>
                <w:rFonts w:eastAsia="Times New Roman"/>
                <w:szCs w:val="21"/>
                <w:lang w:eastAsia="da-DK"/>
              </w:rPr>
              <w:t>Andel indvandrere/efterkommere fra ikke-vestlige lande</w:t>
            </w:r>
          </w:p>
          <w:p w14:paraId="2BC23D87" w14:textId="77777777" w:rsidR="0006476E" w:rsidRDefault="0006476E" w:rsidP="00092E7B">
            <w:pPr>
              <w:spacing w:after="240"/>
              <w:rPr>
                <w:rFonts w:eastAsia="Times New Roman"/>
                <w:szCs w:val="21"/>
                <w:lang w:eastAsia="da-DK"/>
              </w:rPr>
            </w:pPr>
          </w:p>
        </w:tc>
        <w:tc>
          <w:tcPr>
            <w:tcW w:w="8366" w:type="dxa"/>
          </w:tcPr>
          <w:p w14:paraId="55BF1D83" w14:textId="77777777" w:rsidR="0006476E" w:rsidRDefault="00DF71D9" w:rsidP="00DF71D9">
            <w:pPr>
              <w:spacing w:after="240"/>
              <w:rPr>
                <w:rFonts w:eastAsia="Times New Roman"/>
                <w:szCs w:val="21"/>
                <w:lang w:eastAsia="da-DK"/>
              </w:rPr>
            </w:pPr>
            <w:r>
              <w:rPr>
                <w:szCs w:val="21"/>
              </w:rPr>
              <w:t>Det samlede a</w:t>
            </w:r>
            <w:r w:rsidR="0006476E" w:rsidRPr="001834EF">
              <w:rPr>
                <w:szCs w:val="21"/>
              </w:rPr>
              <w:t>ntal indvandrere og efterkommere fra ikke-vestlige lande</w:t>
            </w:r>
            <w:r w:rsidR="008223B0">
              <w:rPr>
                <w:szCs w:val="21"/>
              </w:rPr>
              <w:t xml:space="preserve"> i afdelingen </w:t>
            </w:r>
            <w:r w:rsidR="0006476E">
              <w:rPr>
                <w:szCs w:val="21"/>
              </w:rPr>
              <w:t xml:space="preserve">set i forhold til </w:t>
            </w:r>
            <w:r>
              <w:rPr>
                <w:szCs w:val="21"/>
              </w:rPr>
              <w:t xml:space="preserve">det samlede </w:t>
            </w:r>
            <w:r w:rsidR="008223B0">
              <w:rPr>
                <w:szCs w:val="21"/>
              </w:rPr>
              <w:t>antal</w:t>
            </w:r>
            <w:r>
              <w:rPr>
                <w:szCs w:val="21"/>
              </w:rPr>
              <w:t xml:space="preserve"> </w:t>
            </w:r>
            <w:r w:rsidR="008223B0">
              <w:rPr>
                <w:szCs w:val="21"/>
              </w:rPr>
              <w:t>beboere i afdelingen.</w:t>
            </w:r>
          </w:p>
        </w:tc>
        <w:tc>
          <w:tcPr>
            <w:tcW w:w="3118" w:type="dxa"/>
          </w:tcPr>
          <w:p w14:paraId="1FDC10A5" w14:textId="77777777" w:rsidR="0006476E" w:rsidRDefault="0006476E" w:rsidP="00092E7B">
            <w:pPr>
              <w:spacing w:after="240"/>
              <w:rPr>
                <w:rFonts w:eastAsia="Times New Roman"/>
                <w:szCs w:val="21"/>
                <w:lang w:eastAsia="da-DK"/>
              </w:rPr>
            </w:pPr>
            <w:r>
              <w:rPr>
                <w:rFonts w:eastAsia="Times New Roman"/>
                <w:szCs w:val="21"/>
                <w:lang w:eastAsia="da-DK"/>
              </w:rPr>
              <w:t>Danmarks Statistik</w:t>
            </w:r>
          </w:p>
        </w:tc>
      </w:tr>
      <w:tr w:rsidR="0006476E" w14:paraId="6420548A" w14:textId="77777777" w:rsidTr="003F0134">
        <w:tc>
          <w:tcPr>
            <w:tcW w:w="3542" w:type="dxa"/>
          </w:tcPr>
          <w:p w14:paraId="73C0A96B" w14:textId="77777777" w:rsidR="0006476E" w:rsidRPr="00CB5B31" w:rsidRDefault="0006476E" w:rsidP="00092E7B">
            <w:pPr>
              <w:rPr>
                <w:rFonts w:eastAsia="Times New Roman"/>
                <w:szCs w:val="21"/>
                <w:lang w:eastAsia="da-DK"/>
              </w:rPr>
            </w:pPr>
            <w:r w:rsidRPr="00CB5B31">
              <w:rPr>
                <w:rFonts w:eastAsia="Times New Roman"/>
                <w:szCs w:val="21"/>
                <w:lang w:eastAsia="da-DK"/>
              </w:rPr>
              <w:t>Andel udenfor arbejdsmarkedet</w:t>
            </w:r>
          </w:p>
          <w:p w14:paraId="413052CD" w14:textId="77777777" w:rsidR="0006476E" w:rsidRDefault="0006476E" w:rsidP="00092E7B">
            <w:pPr>
              <w:spacing w:after="240"/>
              <w:rPr>
                <w:rFonts w:eastAsia="Times New Roman"/>
                <w:szCs w:val="21"/>
                <w:lang w:eastAsia="da-DK"/>
              </w:rPr>
            </w:pPr>
          </w:p>
        </w:tc>
        <w:tc>
          <w:tcPr>
            <w:tcW w:w="8366" w:type="dxa"/>
          </w:tcPr>
          <w:p w14:paraId="75E54FB9" w14:textId="5897E2BB" w:rsidR="0006476E" w:rsidRDefault="0006476E" w:rsidP="00092E7B">
            <w:pPr>
              <w:spacing w:after="240"/>
              <w:rPr>
                <w:szCs w:val="21"/>
              </w:rPr>
            </w:pPr>
            <w:r w:rsidRPr="001834EF">
              <w:rPr>
                <w:szCs w:val="21"/>
              </w:rPr>
              <w:t>Antallet af fuldtidspersoner</w:t>
            </w:r>
            <w:r>
              <w:rPr>
                <w:szCs w:val="21"/>
              </w:rPr>
              <w:t xml:space="preserve"> mellem 1</w:t>
            </w:r>
            <w:r w:rsidR="004A390D">
              <w:rPr>
                <w:szCs w:val="21"/>
              </w:rPr>
              <w:t>6</w:t>
            </w:r>
            <w:r>
              <w:rPr>
                <w:szCs w:val="21"/>
              </w:rPr>
              <w:t>-64 år</w:t>
            </w:r>
            <w:r w:rsidRPr="001834EF">
              <w:rPr>
                <w:szCs w:val="21"/>
              </w:rPr>
              <w:t xml:space="preserve"> udenfor arbejdsmarkedet i afdelingen</w:t>
            </w:r>
            <w:r>
              <w:rPr>
                <w:szCs w:val="21"/>
              </w:rPr>
              <w:t xml:space="preserve"> set ift. a</w:t>
            </w:r>
            <w:r w:rsidRPr="001834EF">
              <w:rPr>
                <w:szCs w:val="21"/>
              </w:rPr>
              <w:t>n</w:t>
            </w:r>
            <w:r>
              <w:rPr>
                <w:szCs w:val="21"/>
              </w:rPr>
              <w:t xml:space="preserve">tallet af beboere i afdelingen </w:t>
            </w:r>
            <w:r w:rsidRPr="001834EF">
              <w:rPr>
                <w:szCs w:val="21"/>
              </w:rPr>
              <w:t>mellem 1</w:t>
            </w:r>
            <w:r w:rsidR="004A390D">
              <w:rPr>
                <w:szCs w:val="21"/>
              </w:rPr>
              <w:t>6</w:t>
            </w:r>
            <w:r w:rsidRPr="001834EF">
              <w:rPr>
                <w:szCs w:val="21"/>
              </w:rPr>
              <w:t xml:space="preserve"> og 64 år, begge aldre inkl.</w:t>
            </w:r>
          </w:p>
          <w:p w14:paraId="79305075" w14:textId="77777777" w:rsidR="002F2AB7" w:rsidRPr="009D7147" w:rsidRDefault="002F2AB7" w:rsidP="002F2AB7">
            <w:pPr>
              <w:autoSpaceDE w:val="0"/>
              <w:autoSpaceDN w:val="0"/>
              <w:rPr>
                <w:szCs w:val="21"/>
              </w:rPr>
            </w:pPr>
            <w:r>
              <w:rPr>
                <w:szCs w:val="21"/>
              </w:rPr>
              <w:t>Beboere udenfor arbejdsmarkedet er</w:t>
            </w:r>
            <w:r w:rsidRPr="009D7147">
              <w:rPr>
                <w:szCs w:val="21"/>
              </w:rPr>
              <w:t xml:space="preserve"> defineret</w:t>
            </w:r>
            <w:r>
              <w:rPr>
                <w:szCs w:val="21"/>
              </w:rPr>
              <w:t xml:space="preserve"> </w:t>
            </w:r>
            <w:r w:rsidRPr="009D7147">
              <w:rPr>
                <w:szCs w:val="21"/>
              </w:rPr>
              <w:t xml:space="preserve">som personer (omregnet til fuldtidspersoner) som tilhører én af </w:t>
            </w:r>
            <w:r>
              <w:rPr>
                <w:szCs w:val="21"/>
              </w:rPr>
              <w:t xml:space="preserve">nedenstående </w:t>
            </w:r>
            <w:r w:rsidRPr="009D7147">
              <w:rPr>
                <w:szCs w:val="21"/>
              </w:rPr>
              <w:t>5 grupper:</w:t>
            </w:r>
          </w:p>
          <w:p w14:paraId="4D8B9A34" w14:textId="77777777" w:rsidR="002F2AB7" w:rsidRPr="009D7147" w:rsidRDefault="002F2AB7" w:rsidP="002F2AB7">
            <w:pPr>
              <w:autoSpaceDE w:val="0"/>
              <w:autoSpaceDN w:val="0"/>
              <w:rPr>
                <w:szCs w:val="21"/>
              </w:rPr>
            </w:pPr>
          </w:p>
          <w:p w14:paraId="19929811" w14:textId="77777777" w:rsidR="00323700" w:rsidRPr="0094443D" w:rsidRDefault="00323700" w:rsidP="00323700">
            <w:pPr>
              <w:rPr>
                <w:szCs w:val="21"/>
              </w:rPr>
            </w:pPr>
            <w:r w:rsidRPr="009D7147">
              <w:rPr>
                <w:szCs w:val="21"/>
              </w:rPr>
              <w:t xml:space="preserve">Gruppe A: </w:t>
            </w:r>
            <w:r w:rsidRPr="0094443D">
              <w:rPr>
                <w:szCs w:val="21"/>
              </w:rPr>
              <w:t>Samtlige registrerede nettoledige (inkl. dagpengemodtagere, arbejdsmarkedsydelse og kontanthjælps-/uddannelseshjælps-/ og integrationsydelsesmodtagere, der visiteres som jobparate eller åbenlyst uddannelsesparate).</w:t>
            </w:r>
          </w:p>
          <w:p w14:paraId="27E090FB" w14:textId="77777777" w:rsidR="00323700" w:rsidRPr="0094443D" w:rsidRDefault="00323700" w:rsidP="00323700">
            <w:pPr>
              <w:rPr>
                <w:szCs w:val="21"/>
              </w:rPr>
            </w:pPr>
            <w:r w:rsidRPr="009D7147">
              <w:rPr>
                <w:szCs w:val="21"/>
              </w:rPr>
              <w:lastRenderedPageBreak/>
              <w:t xml:space="preserve">Gruppe B: </w:t>
            </w:r>
            <w:r w:rsidRPr="0094443D">
              <w:rPr>
                <w:szCs w:val="21"/>
              </w:rPr>
              <w:t>Samtlige aktiverede på offentlig forsørgelse, dog ikke aktiverede på sygedagpenge.</w:t>
            </w:r>
          </w:p>
          <w:p w14:paraId="6D26A7A0" w14:textId="77777777" w:rsidR="00323700" w:rsidRPr="0094443D" w:rsidRDefault="00323700" w:rsidP="00323700">
            <w:pPr>
              <w:rPr>
                <w:szCs w:val="21"/>
              </w:rPr>
            </w:pPr>
            <w:r w:rsidRPr="0094443D">
              <w:rPr>
                <w:szCs w:val="21"/>
              </w:rPr>
              <w:t xml:space="preserve">Herudover samtlige modtagere af revalideringsydelse og ledighedsydelse. </w:t>
            </w:r>
          </w:p>
          <w:p w14:paraId="7EF99909" w14:textId="77777777" w:rsidR="00323700" w:rsidRPr="0094443D" w:rsidRDefault="00323700" w:rsidP="00323700">
            <w:pPr>
              <w:rPr>
                <w:szCs w:val="21"/>
              </w:rPr>
            </w:pPr>
            <w:r w:rsidRPr="009D7147">
              <w:rPr>
                <w:szCs w:val="21"/>
              </w:rPr>
              <w:t xml:space="preserve">Gruppe C: </w:t>
            </w:r>
            <w:r w:rsidRPr="0094443D">
              <w:rPr>
                <w:szCs w:val="21"/>
              </w:rPr>
              <w:t>Passive kontanthjælpsmodtagere og uddannelseshjælpsmodtagere (uden ledighed eller aktivering) samt integrationsydelsesmodtagere (uden ledighed eller aktivering).</w:t>
            </w:r>
          </w:p>
          <w:p w14:paraId="4870EE79" w14:textId="77777777" w:rsidR="00323700" w:rsidRPr="0094443D" w:rsidRDefault="00323700" w:rsidP="00323700">
            <w:pPr>
              <w:rPr>
                <w:szCs w:val="21"/>
              </w:rPr>
            </w:pPr>
            <w:r w:rsidRPr="0094443D">
              <w:rPr>
                <w:szCs w:val="21"/>
              </w:rPr>
              <w:t xml:space="preserve">Herudover samtlige personer i ressourceforløb og jobafklaring (uden aktivering). </w:t>
            </w:r>
          </w:p>
          <w:p w14:paraId="2F7969B5" w14:textId="77777777" w:rsidR="00323700" w:rsidRPr="0094443D" w:rsidRDefault="00323700" w:rsidP="00323700">
            <w:pPr>
              <w:rPr>
                <w:szCs w:val="21"/>
              </w:rPr>
            </w:pPr>
            <w:r w:rsidRPr="009D7147">
              <w:rPr>
                <w:szCs w:val="21"/>
              </w:rPr>
              <w:t xml:space="preserve">Gruppe D: </w:t>
            </w:r>
            <w:r w:rsidRPr="0094443D">
              <w:rPr>
                <w:szCs w:val="21"/>
              </w:rPr>
              <w:t>Personer på sygedagpenge fra ledighed herunder aktiverede på sygedagpenge fra ledighed.</w:t>
            </w:r>
          </w:p>
          <w:p w14:paraId="32E86E65" w14:textId="77777777" w:rsidR="002F2AB7" w:rsidRDefault="00323700" w:rsidP="00323700">
            <w:pPr>
              <w:rPr>
                <w:szCs w:val="21"/>
              </w:rPr>
            </w:pPr>
            <w:r w:rsidRPr="009D7147">
              <w:rPr>
                <w:szCs w:val="21"/>
              </w:rPr>
              <w:t xml:space="preserve">Gruppe E: </w:t>
            </w:r>
            <w:r w:rsidRPr="0094443D">
              <w:rPr>
                <w:szCs w:val="21"/>
              </w:rPr>
              <w:t>Personer på førtidspension (herunder også personer i skånejob).</w:t>
            </w:r>
          </w:p>
          <w:p w14:paraId="76EE25FF" w14:textId="1B65FEB0" w:rsidR="00323700" w:rsidRPr="00323700" w:rsidRDefault="00323700" w:rsidP="00323700">
            <w:pPr>
              <w:rPr>
                <w:szCs w:val="21"/>
              </w:rPr>
            </w:pPr>
          </w:p>
        </w:tc>
        <w:tc>
          <w:tcPr>
            <w:tcW w:w="3118" w:type="dxa"/>
          </w:tcPr>
          <w:p w14:paraId="2934A811" w14:textId="77777777" w:rsidR="0006476E" w:rsidRDefault="0006476E" w:rsidP="00092E7B">
            <w:pPr>
              <w:spacing w:after="240"/>
              <w:rPr>
                <w:rFonts w:eastAsia="Times New Roman"/>
                <w:szCs w:val="21"/>
                <w:lang w:eastAsia="da-DK"/>
              </w:rPr>
            </w:pPr>
            <w:r>
              <w:rPr>
                <w:rFonts w:eastAsia="Times New Roman"/>
                <w:szCs w:val="21"/>
                <w:lang w:eastAsia="da-DK"/>
              </w:rPr>
              <w:lastRenderedPageBreak/>
              <w:t>Danmarks Statistik</w:t>
            </w:r>
          </w:p>
        </w:tc>
      </w:tr>
      <w:tr w:rsidR="0006476E" w14:paraId="234638AF" w14:textId="77777777" w:rsidTr="003F0134">
        <w:tc>
          <w:tcPr>
            <w:tcW w:w="3542" w:type="dxa"/>
          </w:tcPr>
          <w:p w14:paraId="47580D18" w14:textId="77777777" w:rsidR="0006476E" w:rsidRPr="00CB5B31" w:rsidRDefault="0006476E" w:rsidP="00092E7B">
            <w:pPr>
              <w:rPr>
                <w:rFonts w:eastAsia="Times New Roman"/>
                <w:szCs w:val="21"/>
                <w:lang w:eastAsia="da-DK"/>
              </w:rPr>
            </w:pPr>
            <w:r w:rsidRPr="00CB5B31">
              <w:rPr>
                <w:rFonts w:eastAsia="Times New Roman"/>
                <w:szCs w:val="21"/>
                <w:lang w:eastAsia="da-DK"/>
              </w:rPr>
              <w:t>Indkomst ift. gennemsnitlig landsindkomst</w:t>
            </w:r>
          </w:p>
          <w:p w14:paraId="17FB3F31" w14:textId="77777777" w:rsidR="0006476E" w:rsidRDefault="0006476E" w:rsidP="00092E7B">
            <w:pPr>
              <w:spacing w:after="240"/>
              <w:rPr>
                <w:rFonts w:eastAsia="Times New Roman"/>
                <w:szCs w:val="21"/>
                <w:lang w:eastAsia="da-DK"/>
              </w:rPr>
            </w:pPr>
          </w:p>
        </w:tc>
        <w:tc>
          <w:tcPr>
            <w:tcW w:w="8366" w:type="dxa"/>
          </w:tcPr>
          <w:p w14:paraId="1CB3FCBD" w14:textId="77777777" w:rsidR="00850A9A" w:rsidRDefault="00850A9A" w:rsidP="00850A9A">
            <w:pPr>
              <w:rPr>
                <w:szCs w:val="21"/>
              </w:rPr>
            </w:pPr>
            <w:r>
              <w:rPr>
                <w:szCs w:val="21"/>
              </w:rPr>
              <w:t>Kun fuldt skattepligtige personer på 18 år og derover er medtaget i beregningen. Indkomsten, der anvendes er personindkomst i alt</w:t>
            </w:r>
            <w:r w:rsidRPr="0050326E">
              <w:rPr>
                <w:szCs w:val="21"/>
              </w:rPr>
              <w:t xml:space="preserve"> ekskl. beregnet lejeværdi af egen bolig og før fradrag af renteudgifter.</w:t>
            </w:r>
          </w:p>
          <w:p w14:paraId="3FF3B281" w14:textId="77777777" w:rsidR="00E31181" w:rsidRDefault="00E31181" w:rsidP="00E31181">
            <w:pPr>
              <w:rPr>
                <w:szCs w:val="21"/>
              </w:rPr>
            </w:pPr>
          </w:p>
          <w:p w14:paraId="0313E286" w14:textId="77777777" w:rsidR="0006476E" w:rsidRDefault="004E6984" w:rsidP="00E31181">
            <w:pPr>
              <w:rPr>
                <w:szCs w:val="21"/>
              </w:rPr>
            </w:pPr>
            <w:r w:rsidRPr="0050326E">
              <w:rPr>
                <w:szCs w:val="21"/>
              </w:rPr>
              <w:t xml:space="preserve">Hvis afdelingen/organisationens gennemsnitlige indkomst pr. person </w:t>
            </w:r>
            <w:r w:rsidR="00850A9A">
              <w:rPr>
                <w:szCs w:val="21"/>
              </w:rPr>
              <w:t xml:space="preserve">er </w:t>
            </w:r>
            <w:r w:rsidRPr="0050326E">
              <w:rPr>
                <w:szCs w:val="21"/>
              </w:rPr>
              <w:t>større end landsgennemsnittet er værdien af andelen større end 1. Er dette tilfældet er andelen sat til 1. Er afdelingens/organisations gennemsnitlige indkomst pr. person under 25 % af landsgennemsnittet sættes den til 25 %.</w:t>
            </w:r>
          </w:p>
          <w:p w14:paraId="2CE5D21F" w14:textId="77777777" w:rsidR="00E31181" w:rsidRDefault="00E31181" w:rsidP="00E31181">
            <w:pPr>
              <w:rPr>
                <w:rFonts w:eastAsia="Times New Roman"/>
                <w:szCs w:val="21"/>
                <w:lang w:eastAsia="da-DK"/>
              </w:rPr>
            </w:pPr>
          </w:p>
        </w:tc>
        <w:tc>
          <w:tcPr>
            <w:tcW w:w="3118" w:type="dxa"/>
          </w:tcPr>
          <w:p w14:paraId="07BAC5E3" w14:textId="77777777" w:rsidR="0006476E" w:rsidRDefault="0006476E" w:rsidP="00092E7B">
            <w:pPr>
              <w:spacing w:after="240"/>
              <w:rPr>
                <w:rFonts w:eastAsia="Times New Roman"/>
                <w:szCs w:val="21"/>
                <w:lang w:eastAsia="da-DK"/>
              </w:rPr>
            </w:pPr>
            <w:r>
              <w:rPr>
                <w:rFonts w:eastAsia="Times New Roman"/>
                <w:szCs w:val="21"/>
                <w:lang w:eastAsia="da-DK"/>
              </w:rPr>
              <w:t>Danmarks Statistik</w:t>
            </w:r>
          </w:p>
        </w:tc>
      </w:tr>
      <w:tr w:rsidR="0006476E" w14:paraId="44584361" w14:textId="77777777" w:rsidTr="003F0134">
        <w:tc>
          <w:tcPr>
            <w:tcW w:w="3542" w:type="dxa"/>
          </w:tcPr>
          <w:p w14:paraId="57F95349" w14:textId="77777777" w:rsidR="0006476E" w:rsidRDefault="0006476E" w:rsidP="0079250F">
            <w:pPr>
              <w:spacing w:after="240"/>
              <w:rPr>
                <w:rFonts w:eastAsia="Times New Roman"/>
                <w:szCs w:val="21"/>
                <w:lang w:eastAsia="da-DK"/>
              </w:rPr>
            </w:pPr>
            <w:r w:rsidRPr="00CB5B31">
              <w:rPr>
                <w:rFonts w:eastAsia="Times New Roman"/>
                <w:szCs w:val="21"/>
                <w:lang w:eastAsia="da-DK"/>
              </w:rPr>
              <w:t>Andel personer uden uddannelse/uoplyst uddannelse</w:t>
            </w:r>
          </w:p>
        </w:tc>
        <w:tc>
          <w:tcPr>
            <w:tcW w:w="8366" w:type="dxa"/>
          </w:tcPr>
          <w:p w14:paraId="12FCFCD3" w14:textId="02BC5B93" w:rsidR="0006476E" w:rsidRDefault="00673E2A" w:rsidP="00DF71D9">
            <w:pPr>
              <w:spacing w:after="240"/>
              <w:rPr>
                <w:rFonts w:eastAsia="Times New Roman"/>
                <w:szCs w:val="21"/>
                <w:lang w:eastAsia="da-DK"/>
              </w:rPr>
            </w:pPr>
            <w:r>
              <w:rPr>
                <w:szCs w:val="21"/>
              </w:rPr>
              <w:t>Det samlede a</w:t>
            </w:r>
            <w:r w:rsidRPr="001834EF">
              <w:rPr>
                <w:szCs w:val="21"/>
              </w:rPr>
              <w:t xml:space="preserve">ntal personer </w:t>
            </w:r>
            <w:r>
              <w:rPr>
                <w:szCs w:val="21"/>
              </w:rPr>
              <w:t xml:space="preserve">på 15 år og derover </w:t>
            </w:r>
            <w:r w:rsidRPr="001834EF">
              <w:rPr>
                <w:szCs w:val="21"/>
              </w:rPr>
              <w:t>med uoplyst uddannelse eller grundskole so</w:t>
            </w:r>
            <w:r>
              <w:rPr>
                <w:szCs w:val="21"/>
              </w:rPr>
              <w:t>m højeste fuldførte uddannelse set ift. det samlede antal beboere på 15 år og derover. P</w:t>
            </w:r>
            <w:r w:rsidRPr="001834EF">
              <w:rPr>
                <w:szCs w:val="21"/>
              </w:rPr>
              <w:t>ersoner under uddannelse er ikke medtaget.</w:t>
            </w:r>
            <w:r>
              <w:rPr>
                <w:szCs w:val="21"/>
              </w:rPr>
              <w:t xml:space="preserve"> Summeret på boligorganisationsniveau.</w:t>
            </w:r>
          </w:p>
        </w:tc>
        <w:tc>
          <w:tcPr>
            <w:tcW w:w="3118" w:type="dxa"/>
          </w:tcPr>
          <w:p w14:paraId="0E7BF44F" w14:textId="77777777" w:rsidR="0006476E" w:rsidRDefault="0006476E" w:rsidP="00092E7B">
            <w:pPr>
              <w:spacing w:after="240"/>
              <w:rPr>
                <w:rFonts w:eastAsia="Times New Roman"/>
                <w:szCs w:val="21"/>
                <w:lang w:eastAsia="da-DK"/>
              </w:rPr>
            </w:pPr>
            <w:r>
              <w:rPr>
                <w:rFonts w:eastAsia="Times New Roman"/>
                <w:szCs w:val="21"/>
                <w:lang w:eastAsia="da-DK"/>
              </w:rPr>
              <w:t>Danmarks Statistik</w:t>
            </w:r>
          </w:p>
        </w:tc>
      </w:tr>
    </w:tbl>
    <w:p w14:paraId="091DC16D" w14:textId="77777777" w:rsidR="004E6984" w:rsidRDefault="004E6984" w:rsidP="0079250F">
      <w:pPr>
        <w:spacing w:after="240" w:line="240" w:lineRule="auto"/>
        <w:ind w:left="-851"/>
        <w:rPr>
          <w:szCs w:val="21"/>
        </w:rPr>
      </w:pPr>
    </w:p>
    <w:p w14:paraId="55921643" w14:textId="77777777" w:rsidR="00E14F80" w:rsidRDefault="00E14F80">
      <w:pPr>
        <w:rPr>
          <w:szCs w:val="21"/>
        </w:rPr>
      </w:pPr>
      <w:r>
        <w:rPr>
          <w:szCs w:val="21"/>
        </w:rPr>
        <w:br w:type="page"/>
      </w:r>
    </w:p>
    <w:p w14:paraId="606CF3DC" w14:textId="77777777" w:rsidR="00954521" w:rsidRPr="00954521" w:rsidRDefault="00954521" w:rsidP="00954521">
      <w:pPr>
        <w:spacing w:after="240" w:line="240" w:lineRule="auto"/>
        <w:ind w:left="-851"/>
        <w:rPr>
          <w:szCs w:val="21"/>
        </w:rPr>
      </w:pPr>
      <w:r>
        <w:rPr>
          <w:szCs w:val="21"/>
        </w:rPr>
        <w:lastRenderedPageBreak/>
        <w:t>Der vises yderligere en række stamdataoplysninger om boligorganisationerne og afdelingerne, som dog ikke indgår som baggrundsvariable i udsøgningen af tvillinger.</w:t>
      </w:r>
    </w:p>
    <w:p w14:paraId="4ED431DC" w14:textId="77777777" w:rsidR="00954521" w:rsidRPr="004E6984" w:rsidRDefault="00954521" w:rsidP="00954521">
      <w:pPr>
        <w:ind w:left="-851"/>
        <w:rPr>
          <w:i/>
          <w:szCs w:val="21"/>
        </w:rPr>
      </w:pPr>
      <w:r>
        <w:rPr>
          <w:i/>
          <w:szCs w:val="21"/>
        </w:rPr>
        <w:t>Tabel 3</w:t>
      </w:r>
      <w:r w:rsidRPr="004E6984">
        <w:rPr>
          <w:i/>
          <w:szCs w:val="21"/>
        </w:rPr>
        <w:t xml:space="preserve">: </w:t>
      </w:r>
      <w:r>
        <w:rPr>
          <w:i/>
          <w:szCs w:val="21"/>
        </w:rPr>
        <w:t>Yderligere stamdata om boligorganisationer og afdelinger</w:t>
      </w:r>
      <w:r w:rsidRPr="004E6984">
        <w:rPr>
          <w:i/>
          <w:szCs w:val="21"/>
        </w:rPr>
        <w:t>:</w:t>
      </w:r>
    </w:p>
    <w:tbl>
      <w:tblPr>
        <w:tblStyle w:val="Tabel-Gitter"/>
        <w:tblW w:w="15026" w:type="dxa"/>
        <w:tblInd w:w="-743" w:type="dxa"/>
        <w:tblLook w:val="04A0" w:firstRow="1" w:lastRow="0" w:firstColumn="1" w:lastColumn="0" w:noHBand="0" w:noVBand="1"/>
      </w:tblPr>
      <w:tblGrid>
        <w:gridCol w:w="2269"/>
        <w:gridCol w:w="9639"/>
        <w:gridCol w:w="3118"/>
      </w:tblGrid>
      <w:tr w:rsidR="00954521" w14:paraId="3FCCCF83" w14:textId="77777777" w:rsidTr="001452DD">
        <w:tc>
          <w:tcPr>
            <w:tcW w:w="2269" w:type="dxa"/>
          </w:tcPr>
          <w:p w14:paraId="3D89B730" w14:textId="77777777" w:rsidR="00954521" w:rsidRDefault="00954521" w:rsidP="0079250F">
            <w:pPr>
              <w:spacing w:after="240"/>
              <w:rPr>
                <w:b/>
                <w:szCs w:val="21"/>
              </w:rPr>
            </w:pPr>
            <w:r>
              <w:rPr>
                <w:b/>
                <w:szCs w:val="21"/>
              </w:rPr>
              <w:t>Stamdata</w:t>
            </w:r>
          </w:p>
        </w:tc>
        <w:tc>
          <w:tcPr>
            <w:tcW w:w="9639" w:type="dxa"/>
          </w:tcPr>
          <w:p w14:paraId="67458659" w14:textId="77777777" w:rsidR="00954521" w:rsidRDefault="00954521" w:rsidP="0079250F">
            <w:pPr>
              <w:spacing w:after="240"/>
              <w:rPr>
                <w:b/>
                <w:szCs w:val="21"/>
              </w:rPr>
            </w:pPr>
            <w:r>
              <w:rPr>
                <w:b/>
                <w:szCs w:val="21"/>
              </w:rPr>
              <w:t>Definition</w:t>
            </w:r>
          </w:p>
        </w:tc>
        <w:tc>
          <w:tcPr>
            <w:tcW w:w="3118" w:type="dxa"/>
          </w:tcPr>
          <w:p w14:paraId="71400355" w14:textId="77777777" w:rsidR="00954521" w:rsidRDefault="00954521" w:rsidP="0079250F">
            <w:pPr>
              <w:spacing w:after="240"/>
              <w:rPr>
                <w:b/>
                <w:szCs w:val="21"/>
              </w:rPr>
            </w:pPr>
            <w:r>
              <w:rPr>
                <w:b/>
                <w:szCs w:val="21"/>
              </w:rPr>
              <w:t>Datakilde</w:t>
            </w:r>
          </w:p>
        </w:tc>
      </w:tr>
      <w:tr w:rsidR="00954521" w14:paraId="174735BE" w14:textId="77777777" w:rsidTr="001452DD">
        <w:tc>
          <w:tcPr>
            <w:tcW w:w="2269" w:type="dxa"/>
          </w:tcPr>
          <w:p w14:paraId="2F41A357" w14:textId="77777777" w:rsidR="00954521" w:rsidRPr="00954521" w:rsidRDefault="00954521" w:rsidP="0079250F">
            <w:pPr>
              <w:spacing w:after="240"/>
              <w:rPr>
                <w:szCs w:val="21"/>
              </w:rPr>
            </w:pPr>
            <w:r>
              <w:rPr>
                <w:szCs w:val="21"/>
              </w:rPr>
              <w:t>Antal afdelinger</w:t>
            </w:r>
            <w:r w:rsidR="00A72F5B">
              <w:rPr>
                <w:szCs w:val="21"/>
              </w:rPr>
              <w:t xml:space="preserve"> i boligorganisationen</w:t>
            </w:r>
          </w:p>
        </w:tc>
        <w:tc>
          <w:tcPr>
            <w:tcW w:w="9639" w:type="dxa"/>
          </w:tcPr>
          <w:p w14:paraId="042416C7" w14:textId="77777777" w:rsidR="00954521" w:rsidRPr="000D3108" w:rsidRDefault="000D3108" w:rsidP="0079250F">
            <w:pPr>
              <w:spacing w:after="240"/>
              <w:rPr>
                <w:szCs w:val="21"/>
              </w:rPr>
            </w:pPr>
            <w:r>
              <w:rPr>
                <w:szCs w:val="21"/>
              </w:rPr>
              <w:t>Antal boligafdelinger i boligorganisationen</w:t>
            </w:r>
          </w:p>
        </w:tc>
        <w:tc>
          <w:tcPr>
            <w:tcW w:w="3118" w:type="dxa"/>
          </w:tcPr>
          <w:p w14:paraId="778A7F6B" w14:textId="77777777" w:rsidR="00954521" w:rsidRDefault="00A72F5B" w:rsidP="0079250F">
            <w:pPr>
              <w:spacing w:after="240"/>
              <w:rPr>
                <w:b/>
                <w:szCs w:val="21"/>
              </w:rPr>
            </w:pPr>
            <w:r>
              <w:rPr>
                <w:rFonts w:eastAsia="Times New Roman"/>
                <w:szCs w:val="21"/>
                <w:lang w:eastAsia="da-DK"/>
              </w:rPr>
              <w:t>Landsbyggefondens Stamdatabase</w:t>
            </w:r>
          </w:p>
        </w:tc>
      </w:tr>
      <w:tr w:rsidR="00954521" w14:paraId="433003EB" w14:textId="77777777" w:rsidTr="001452DD">
        <w:tc>
          <w:tcPr>
            <w:tcW w:w="2269" w:type="dxa"/>
          </w:tcPr>
          <w:p w14:paraId="21E575E5" w14:textId="77777777" w:rsidR="00954521" w:rsidRPr="00A72F5B" w:rsidRDefault="00A72F5B" w:rsidP="0079250F">
            <w:pPr>
              <w:spacing w:after="240"/>
              <w:rPr>
                <w:szCs w:val="21"/>
              </w:rPr>
            </w:pPr>
            <w:r w:rsidRPr="00A72F5B">
              <w:rPr>
                <w:szCs w:val="21"/>
              </w:rPr>
              <w:t>Byggeriart</w:t>
            </w:r>
          </w:p>
        </w:tc>
        <w:tc>
          <w:tcPr>
            <w:tcW w:w="9639" w:type="dxa"/>
          </w:tcPr>
          <w:p w14:paraId="7AE88AAF" w14:textId="77777777" w:rsidR="000D3108" w:rsidRPr="000D3108" w:rsidRDefault="000D3108" w:rsidP="000D3108">
            <w:pPr>
              <w:rPr>
                <w:rFonts w:eastAsia="Times New Roman"/>
                <w:szCs w:val="21"/>
                <w:lang w:eastAsia="da-DK"/>
              </w:rPr>
            </w:pPr>
            <w:r w:rsidRPr="000D3108">
              <w:rPr>
                <w:rFonts w:eastAsia="Times New Roman"/>
                <w:szCs w:val="21"/>
                <w:lang w:eastAsia="da-DK"/>
              </w:rPr>
              <w:t xml:space="preserve">Angiver om en afdeling består af etage eller tæt/lavt byggeri. </w:t>
            </w:r>
          </w:p>
          <w:p w14:paraId="461D5A21" w14:textId="77777777" w:rsidR="000D3108" w:rsidRPr="000D3108" w:rsidRDefault="000D3108" w:rsidP="000D3108">
            <w:pPr>
              <w:rPr>
                <w:rFonts w:eastAsia="Times New Roman"/>
                <w:szCs w:val="21"/>
                <w:lang w:eastAsia="da-DK"/>
              </w:rPr>
            </w:pPr>
          </w:p>
          <w:p w14:paraId="6F1775E2" w14:textId="77777777" w:rsidR="00954521" w:rsidRDefault="000D3108" w:rsidP="000D3108">
            <w:pPr>
              <w:rPr>
                <w:b/>
                <w:szCs w:val="21"/>
              </w:rPr>
            </w:pPr>
            <w:r w:rsidRPr="000D3108">
              <w:rPr>
                <w:rFonts w:eastAsia="Times New Roman"/>
                <w:szCs w:val="21"/>
                <w:lang w:eastAsia="da-DK"/>
              </w:rPr>
              <w:t>I afdelinger med begge</w:t>
            </w:r>
            <w:r w:rsidRPr="000D3108">
              <w:rPr>
                <w:szCs w:val="21"/>
              </w:rPr>
              <w:t xml:space="preserve"> byggeriarter er det den art med mest boliger, der bestemmer byggeriarten.</w:t>
            </w:r>
          </w:p>
        </w:tc>
        <w:tc>
          <w:tcPr>
            <w:tcW w:w="3118" w:type="dxa"/>
          </w:tcPr>
          <w:p w14:paraId="72124D65" w14:textId="77777777" w:rsidR="00954521" w:rsidRDefault="00A72F5B" w:rsidP="0079250F">
            <w:pPr>
              <w:spacing w:after="240"/>
              <w:rPr>
                <w:b/>
                <w:szCs w:val="21"/>
              </w:rPr>
            </w:pPr>
            <w:r>
              <w:rPr>
                <w:rFonts w:eastAsia="Times New Roman"/>
                <w:szCs w:val="21"/>
                <w:lang w:eastAsia="da-DK"/>
              </w:rPr>
              <w:t>Landsbyggefondens Stamdatabase</w:t>
            </w:r>
          </w:p>
        </w:tc>
      </w:tr>
      <w:tr w:rsidR="00954521" w14:paraId="773351C7" w14:textId="77777777" w:rsidTr="001452DD">
        <w:tc>
          <w:tcPr>
            <w:tcW w:w="2269" w:type="dxa"/>
          </w:tcPr>
          <w:p w14:paraId="24131B53" w14:textId="77777777" w:rsidR="00954521" w:rsidRPr="00A72F5B" w:rsidRDefault="00A72F5B" w:rsidP="0079250F">
            <w:pPr>
              <w:spacing w:after="240"/>
              <w:rPr>
                <w:szCs w:val="21"/>
              </w:rPr>
            </w:pPr>
            <w:r w:rsidRPr="00A72F5B">
              <w:rPr>
                <w:szCs w:val="21"/>
              </w:rPr>
              <w:t>Antal m2</w:t>
            </w:r>
            <w:r>
              <w:rPr>
                <w:szCs w:val="21"/>
              </w:rPr>
              <w:t xml:space="preserve"> i afdelingen</w:t>
            </w:r>
          </w:p>
        </w:tc>
        <w:tc>
          <w:tcPr>
            <w:tcW w:w="9639" w:type="dxa"/>
          </w:tcPr>
          <w:p w14:paraId="0C0C0789" w14:textId="77777777" w:rsidR="00954521" w:rsidRPr="005C7399" w:rsidRDefault="005C7399" w:rsidP="0079250F">
            <w:pPr>
              <w:spacing w:after="240"/>
              <w:rPr>
                <w:szCs w:val="21"/>
              </w:rPr>
            </w:pPr>
            <w:r>
              <w:rPr>
                <w:szCs w:val="21"/>
              </w:rPr>
              <w:t>Antal m2 i afdelingen</w:t>
            </w:r>
          </w:p>
        </w:tc>
        <w:tc>
          <w:tcPr>
            <w:tcW w:w="3118" w:type="dxa"/>
          </w:tcPr>
          <w:p w14:paraId="4489D814" w14:textId="77777777" w:rsidR="00954521" w:rsidRDefault="00A72F5B" w:rsidP="0079250F">
            <w:pPr>
              <w:spacing w:after="240"/>
              <w:rPr>
                <w:b/>
                <w:szCs w:val="21"/>
              </w:rPr>
            </w:pPr>
            <w:r>
              <w:rPr>
                <w:rFonts w:eastAsia="Times New Roman"/>
                <w:szCs w:val="21"/>
                <w:lang w:eastAsia="da-DK"/>
              </w:rPr>
              <w:t>Landsbyggefondens Stamdatabase</w:t>
            </w:r>
          </w:p>
        </w:tc>
      </w:tr>
      <w:tr w:rsidR="00954521" w14:paraId="71AC896F" w14:textId="77777777" w:rsidTr="00E12FEB">
        <w:trPr>
          <w:trHeight w:val="2075"/>
        </w:trPr>
        <w:tc>
          <w:tcPr>
            <w:tcW w:w="2269" w:type="dxa"/>
          </w:tcPr>
          <w:p w14:paraId="06D52952" w14:textId="77777777" w:rsidR="00954521" w:rsidRPr="00A72F5B" w:rsidRDefault="00A72F5B" w:rsidP="00A72F5B">
            <w:pPr>
              <w:spacing w:after="240"/>
              <w:rPr>
                <w:szCs w:val="21"/>
              </w:rPr>
            </w:pPr>
            <w:r w:rsidRPr="00A72F5B">
              <w:rPr>
                <w:szCs w:val="21"/>
              </w:rPr>
              <w:t>Udearealer</w:t>
            </w:r>
            <w:r>
              <w:rPr>
                <w:szCs w:val="21"/>
              </w:rPr>
              <w:t xml:space="preserve"> i afdelingerne</w:t>
            </w:r>
          </w:p>
        </w:tc>
        <w:tc>
          <w:tcPr>
            <w:tcW w:w="9639" w:type="dxa"/>
          </w:tcPr>
          <w:p w14:paraId="3A9EE32A" w14:textId="77777777" w:rsidR="00D54DA2" w:rsidRPr="001452DD" w:rsidRDefault="00D54DA2" w:rsidP="00D54DA2">
            <w:pPr>
              <w:pStyle w:val="Default"/>
              <w:rPr>
                <w:rFonts w:asciiTheme="minorHAnsi" w:eastAsia="Times New Roman" w:hAnsiTheme="minorHAnsi" w:cstheme="minorBidi"/>
                <w:color w:val="auto"/>
                <w:sz w:val="22"/>
                <w:szCs w:val="21"/>
                <w:lang w:eastAsia="da-DK"/>
              </w:rPr>
            </w:pPr>
            <w:r w:rsidRPr="001452DD">
              <w:rPr>
                <w:rFonts w:asciiTheme="minorHAnsi" w:eastAsia="Times New Roman" w:hAnsiTheme="minorHAnsi" w:cstheme="minorBidi"/>
                <w:color w:val="auto"/>
                <w:sz w:val="22"/>
                <w:szCs w:val="21"/>
                <w:lang w:eastAsia="da-DK"/>
              </w:rPr>
              <w:t>Udearealet er defineret som forskellen mellem det matrikulære areal og det bebyggede areal, for alle matrikler og ejendomme med boliger, som er tilknyttet den enkelte almene boligafdeling. Ejendomme uden boliger fx garager, skure, vaskefaciliteter, fælleslokaler mv. indgår i udearealet. Tilsvarende indgår veje, parkeringspladser o</w:t>
            </w:r>
            <w:r w:rsidR="001452DD">
              <w:rPr>
                <w:rFonts w:asciiTheme="minorHAnsi" w:eastAsia="Times New Roman" w:hAnsiTheme="minorHAnsi" w:cstheme="minorBidi"/>
                <w:color w:val="auto"/>
                <w:sz w:val="22"/>
                <w:szCs w:val="21"/>
                <w:lang w:eastAsia="da-DK"/>
              </w:rPr>
              <w:t>.lign.</w:t>
            </w:r>
            <w:r w:rsidRPr="001452DD">
              <w:rPr>
                <w:rFonts w:asciiTheme="minorHAnsi" w:eastAsia="Times New Roman" w:hAnsiTheme="minorHAnsi" w:cstheme="minorBidi"/>
                <w:color w:val="auto"/>
                <w:sz w:val="22"/>
                <w:szCs w:val="21"/>
                <w:lang w:eastAsia="da-DK"/>
              </w:rPr>
              <w:t xml:space="preserve"> ligele</w:t>
            </w:r>
            <w:r w:rsidR="001452DD">
              <w:rPr>
                <w:rFonts w:asciiTheme="minorHAnsi" w:eastAsia="Times New Roman" w:hAnsiTheme="minorHAnsi" w:cstheme="minorBidi"/>
                <w:color w:val="auto"/>
                <w:sz w:val="22"/>
                <w:szCs w:val="21"/>
                <w:lang w:eastAsia="da-DK"/>
              </w:rPr>
              <w:t>des i udearealet i det omfang de</w:t>
            </w:r>
            <w:r w:rsidRPr="001452DD">
              <w:rPr>
                <w:rFonts w:asciiTheme="minorHAnsi" w:eastAsia="Times New Roman" w:hAnsiTheme="minorHAnsi" w:cstheme="minorBidi"/>
                <w:color w:val="auto"/>
                <w:sz w:val="22"/>
                <w:szCs w:val="21"/>
                <w:lang w:eastAsia="da-DK"/>
              </w:rPr>
              <w:t xml:space="preserve"> ligger på</w:t>
            </w:r>
            <w:r w:rsidR="001452DD">
              <w:rPr>
                <w:rFonts w:asciiTheme="minorHAnsi" w:eastAsia="Times New Roman" w:hAnsiTheme="minorHAnsi" w:cstheme="minorBidi"/>
                <w:color w:val="auto"/>
                <w:sz w:val="22"/>
                <w:szCs w:val="21"/>
                <w:lang w:eastAsia="da-DK"/>
              </w:rPr>
              <w:t xml:space="preserve"> afdelingens </w:t>
            </w:r>
            <w:r w:rsidRPr="001452DD">
              <w:rPr>
                <w:rFonts w:asciiTheme="minorHAnsi" w:eastAsia="Times New Roman" w:hAnsiTheme="minorHAnsi" w:cstheme="minorBidi"/>
                <w:color w:val="auto"/>
                <w:sz w:val="22"/>
                <w:szCs w:val="21"/>
                <w:lang w:eastAsia="da-DK"/>
              </w:rPr>
              <w:t xml:space="preserve">matrikler. </w:t>
            </w:r>
            <w:r w:rsidR="004F2229">
              <w:rPr>
                <w:rFonts w:asciiTheme="minorHAnsi" w:eastAsia="Times New Roman" w:hAnsiTheme="minorHAnsi" w:cstheme="minorBidi"/>
                <w:color w:val="auto"/>
                <w:sz w:val="22"/>
                <w:szCs w:val="21"/>
                <w:lang w:eastAsia="da-DK"/>
              </w:rPr>
              <w:br/>
            </w:r>
          </w:p>
          <w:p w14:paraId="7C7D9AD2" w14:textId="77777777" w:rsidR="00954521" w:rsidRDefault="00D54DA2" w:rsidP="0062239B">
            <w:pPr>
              <w:pStyle w:val="Default"/>
              <w:rPr>
                <w:b/>
                <w:szCs w:val="21"/>
              </w:rPr>
            </w:pPr>
            <w:r w:rsidRPr="001452DD">
              <w:rPr>
                <w:rFonts w:asciiTheme="minorHAnsi" w:eastAsia="Times New Roman" w:hAnsiTheme="minorHAnsi" w:cstheme="minorBidi"/>
                <w:color w:val="auto"/>
                <w:sz w:val="22"/>
                <w:szCs w:val="21"/>
                <w:lang w:eastAsia="da-DK"/>
              </w:rPr>
              <w:t>Ikke matrikuleret areal, som ligger mellem flere af en afdelings matrikler, fx offentlig veje</w:t>
            </w:r>
            <w:r w:rsidR="001452DD" w:rsidRPr="001452DD">
              <w:rPr>
                <w:rFonts w:asciiTheme="minorHAnsi" w:eastAsia="Times New Roman" w:hAnsiTheme="minorHAnsi" w:cstheme="minorBidi"/>
                <w:color w:val="auto"/>
                <w:sz w:val="22"/>
                <w:szCs w:val="21"/>
                <w:lang w:eastAsia="da-DK"/>
              </w:rPr>
              <w:t>,</w:t>
            </w:r>
            <w:r w:rsidRPr="001452DD">
              <w:rPr>
                <w:rFonts w:asciiTheme="minorHAnsi" w:eastAsia="Times New Roman" w:hAnsiTheme="minorHAnsi" w:cstheme="minorBidi"/>
                <w:color w:val="auto"/>
                <w:sz w:val="22"/>
                <w:szCs w:val="21"/>
                <w:lang w:eastAsia="da-DK"/>
              </w:rPr>
              <w:t xml:space="preserve"> indgår ikke i afdelingens udearealer. På matrikler med flere ejendomme tilhørende forskellige boligafdelinger, private ejerforeninger eller andre ikke-almene boligformer, er matriklens samlede areal forholdsmæssigt fordelt mellem afdelingerne på baggrund af oplysningerne om antallet af boliger i BBR. Tilsvarende er det bebyggede areal fra ejendomme, som deles af to almene afdelinger eller en almen afdeling og organisationer med andre boligformer, forholdsmæssigt fordelt mellem afdelingerne. Til dette formål er der anvendt en af to vægte, primært ejendommens bebyggede areal og sekundært antallet af boliger i afdelingen / den ikke almene boligform, hvis begge ligger i samme ejendom. </w:t>
            </w:r>
          </w:p>
        </w:tc>
        <w:tc>
          <w:tcPr>
            <w:tcW w:w="3118" w:type="dxa"/>
          </w:tcPr>
          <w:p w14:paraId="79A95EF3" w14:textId="77777777" w:rsidR="00954521" w:rsidRDefault="00A72F5B" w:rsidP="0079250F">
            <w:pPr>
              <w:spacing w:after="240"/>
              <w:rPr>
                <w:b/>
                <w:szCs w:val="21"/>
              </w:rPr>
            </w:pPr>
            <w:r w:rsidRPr="00A72F5B">
              <w:rPr>
                <w:szCs w:val="21"/>
              </w:rPr>
              <w:t>Landsbyggefondens huslejeregister</w:t>
            </w:r>
            <w:r w:rsidR="00D54DA2">
              <w:rPr>
                <w:szCs w:val="21"/>
              </w:rPr>
              <w:t xml:space="preserve"> og Landsbyggefondens Stamdatabase</w:t>
            </w:r>
            <w:r w:rsidRPr="00A72F5B">
              <w:rPr>
                <w:szCs w:val="21"/>
              </w:rPr>
              <w:t xml:space="preserve"> koblet med oplysninger fra hhv. BBR og ESR (Det Fælles Kommunale Ejendomsstamregister).</w:t>
            </w:r>
          </w:p>
        </w:tc>
      </w:tr>
    </w:tbl>
    <w:p w14:paraId="03215C97" w14:textId="77777777" w:rsidR="00954521" w:rsidRDefault="00954521" w:rsidP="0079250F">
      <w:pPr>
        <w:spacing w:after="240" w:line="240" w:lineRule="auto"/>
        <w:ind w:left="-851"/>
        <w:rPr>
          <w:b/>
          <w:szCs w:val="21"/>
        </w:rPr>
      </w:pPr>
    </w:p>
    <w:p w14:paraId="31E9CAAC" w14:textId="77777777" w:rsidR="005C7399" w:rsidRDefault="005C7399" w:rsidP="0079250F">
      <w:pPr>
        <w:spacing w:after="240" w:line="240" w:lineRule="auto"/>
        <w:ind w:left="-851"/>
        <w:rPr>
          <w:b/>
          <w:szCs w:val="21"/>
        </w:rPr>
      </w:pPr>
    </w:p>
    <w:p w14:paraId="7110FCB4" w14:textId="77777777" w:rsidR="005C7399" w:rsidRDefault="005C7399" w:rsidP="0079250F">
      <w:pPr>
        <w:spacing w:after="240" w:line="240" w:lineRule="auto"/>
        <w:ind w:left="-851"/>
        <w:rPr>
          <w:b/>
          <w:szCs w:val="21"/>
        </w:rPr>
      </w:pPr>
    </w:p>
    <w:p w14:paraId="33BB7C87" w14:textId="77777777" w:rsidR="005C7399" w:rsidRDefault="005C7399" w:rsidP="0079250F">
      <w:pPr>
        <w:spacing w:after="240" w:line="240" w:lineRule="auto"/>
        <w:ind w:left="-851"/>
        <w:rPr>
          <w:b/>
          <w:szCs w:val="21"/>
        </w:rPr>
      </w:pPr>
    </w:p>
    <w:p w14:paraId="3AA519B1" w14:textId="77777777" w:rsidR="005C7399" w:rsidRDefault="005C7399" w:rsidP="0079250F">
      <w:pPr>
        <w:spacing w:after="240" w:line="240" w:lineRule="auto"/>
        <w:ind w:left="-851"/>
        <w:rPr>
          <w:b/>
          <w:szCs w:val="21"/>
        </w:rPr>
      </w:pPr>
    </w:p>
    <w:p w14:paraId="6AD75C30" w14:textId="77777777" w:rsidR="0006476E" w:rsidRDefault="0006476E" w:rsidP="0079250F">
      <w:pPr>
        <w:spacing w:after="240" w:line="240" w:lineRule="auto"/>
        <w:ind w:left="-851"/>
        <w:rPr>
          <w:b/>
          <w:szCs w:val="21"/>
        </w:rPr>
      </w:pPr>
      <w:r>
        <w:rPr>
          <w:b/>
          <w:szCs w:val="21"/>
        </w:rPr>
        <w:lastRenderedPageBreak/>
        <w:t>Opdatering af data</w:t>
      </w:r>
      <w:r w:rsidRPr="001834EF">
        <w:rPr>
          <w:b/>
          <w:szCs w:val="21"/>
        </w:rPr>
        <w:t xml:space="preserve"> </w:t>
      </w:r>
    </w:p>
    <w:p w14:paraId="280799FE" w14:textId="77777777" w:rsidR="00E906D2" w:rsidRDefault="004E6984" w:rsidP="0079250F">
      <w:pPr>
        <w:spacing w:after="240" w:line="240" w:lineRule="auto"/>
        <w:ind w:left="-851"/>
        <w:rPr>
          <w:szCs w:val="21"/>
        </w:rPr>
      </w:pPr>
      <w:r w:rsidRPr="00C526F7">
        <w:rPr>
          <w:szCs w:val="21"/>
        </w:rPr>
        <w:t>Data opdateres</w:t>
      </w:r>
      <w:r w:rsidR="00FB293A">
        <w:rPr>
          <w:szCs w:val="21"/>
        </w:rPr>
        <w:t xml:space="preserve"> årligt, når der foreligger nye data, hvilket forventes at ske ca. i </w:t>
      </w:r>
      <w:r w:rsidR="009259CE">
        <w:rPr>
          <w:szCs w:val="21"/>
        </w:rPr>
        <w:t>august/</w:t>
      </w:r>
      <w:r w:rsidR="00FB293A">
        <w:rPr>
          <w:szCs w:val="21"/>
        </w:rPr>
        <w:t xml:space="preserve">september måned hvert år. </w:t>
      </w:r>
      <w:r w:rsidRPr="00C526F7">
        <w:rPr>
          <w:szCs w:val="21"/>
        </w:rPr>
        <w:t xml:space="preserve">Dette gælder både regnskabsdata, </w:t>
      </w:r>
      <w:r w:rsidR="00B77A05">
        <w:rPr>
          <w:szCs w:val="21"/>
        </w:rPr>
        <w:t xml:space="preserve">effektivitetsdata, </w:t>
      </w:r>
      <w:r w:rsidRPr="00C526F7">
        <w:rPr>
          <w:szCs w:val="21"/>
        </w:rPr>
        <w:t>s</w:t>
      </w:r>
      <w:r>
        <w:rPr>
          <w:szCs w:val="21"/>
        </w:rPr>
        <w:t>tamdata og socioøkonomiske data.</w:t>
      </w:r>
      <w:r w:rsidR="00FB293A">
        <w:rPr>
          <w:szCs w:val="21"/>
        </w:rPr>
        <w:t xml:space="preserve"> </w:t>
      </w:r>
    </w:p>
    <w:p w14:paraId="62F882D0" w14:textId="2ED7CE06" w:rsidR="004E6984" w:rsidRPr="004E6984" w:rsidRDefault="00FB293A" w:rsidP="0079250F">
      <w:pPr>
        <w:spacing w:after="240" w:line="240" w:lineRule="auto"/>
        <w:ind w:left="-851"/>
        <w:rPr>
          <w:rFonts w:eastAsia="Times New Roman"/>
          <w:i/>
          <w:szCs w:val="21"/>
          <w:lang w:eastAsia="da-DK"/>
        </w:rPr>
      </w:pPr>
      <w:r>
        <w:rPr>
          <w:szCs w:val="21"/>
        </w:rPr>
        <w:br/>
      </w:r>
      <w:r w:rsidR="004E6984" w:rsidRPr="004E6984">
        <w:rPr>
          <w:i/>
          <w:szCs w:val="21"/>
        </w:rPr>
        <w:t xml:space="preserve">Tabel </w:t>
      </w:r>
      <w:r w:rsidR="00954521">
        <w:rPr>
          <w:i/>
          <w:szCs w:val="21"/>
        </w:rPr>
        <w:t>4</w:t>
      </w:r>
      <w:r w:rsidR="004E6984" w:rsidRPr="004E6984">
        <w:rPr>
          <w:i/>
          <w:szCs w:val="21"/>
        </w:rPr>
        <w:t>:</w:t>
      </w:r>
    </w:p>
    <w:tbl>
      <w:tblPr>
        <w:tblStyle w:val="Tabel-Gitter"/>
        <w:tblW w:w="15055" w:type="dxa"/>
        <w:tblInd w:w="-743" w:type="dxa"/>
        <w:tblLayout w:type="fixed"/>
        <w:tblLook w:val="04A0" w:firstRow="1" w:lastRow="0" w:firstColumn="1" w:lastColumn="0" w:noHBand="0" w:noVBand="1"/>
      </w:tblPr>
      <w:tblGrid>
        <w:gridCol w:w="3970"/>
        <w:gridCol w:w="5415"/>
        <w:gridCol w:w="5670"/>
      </w:tblGrid>
      <w:tr w:rsidR="00A152BE" w14:paraId="19991FB2" w14:textId="77777777" w:rsidTr="009C2220">
        <w:tc>
          <w:tcPr>
            <w:tcW w:w="3970" w:type="dxa"/>
          </w:tcPr>
          <w:p w14:paraId="72BF5C9F" w14:textId="77777777" w:rsidR="00A152BE" w:rsidRDefault="00A152BE" w:rsidP="00092E7B">
            <w:pPr>
              <w:spacing w:after="240"/>
              <w:rPr>
                <w:rFonts w:eastAsia="Times New Roman"/>
                <w:szCs w:val="21"/>
                <w:lang w:eastAsia="da-DK"/>
              </w:rPr>
            </w:pPr>
          </w:p>
        </w:tc>
        <w:tc>
          <w:tcPr>
            <w:tcW w:w="5415" w:type="dxa"/>
          </w:tcPr>
          <w:p w14:paraId="325131A7" w14:textId="77777777" w:rsidR="00A152BE" w:rsidRPr="00524D47" w:rsidRDefault="00A152BE" w:rsidP="00092E7B">
            <w:pPr>
              <w:spacing w:after="240"/>
              <w:rPr>
                <w:rFonts w:eastAsia="Times New Roman"/>
                <w:b/>
                <w:szCs w:val="21"/>
                <w:lang w:eastAsia="da-DK"/>
              </w:rPr>
            </w:pPr>
            <w:r>
              <w:rPr>
                <w:rFonts w:eastAsia="Times New Roman"/>
                <w:b/>
                <w:szCs w:val="21"/>
                <w:lang w:eastAsia="da-DK"/>
              </w:rPr>
              <w:t>Hvornår er nuværende data fra?</w:t>
            </w:r>
            <w:r w:rsidRPr="00524D47">
              <w:rPr>
                <w:rFonts w:eastAsia="Times New Roman"/>
                <w:b/>
                <w:szCs w:val="21"/>
                <w:lang w:eastAsia="da-DK"/>
              </w:rPr>
              <w:t xml:space="preserve"> </w:t>
            </w:r>
          </w:p>
        </w:tc>
        <w:tc>
          <w:tcPr>
            <w:tcW w:w="5670" w:type="dxa"/>
          </w:tcPr>
          <w:p w14:paraId="6FEAB11A" w14:textId="77777777" w:rsidR="00A152BE" w:rsidRPr="00524D47" w:rsidRDefault="00A152BE" w:rsidP="009259CE">
            <w:pPr>
              <w:spacing w:after="240"/>
              <w:rPr>
                <w:rFonts w:eastAsia="Times New Roman"/>
                <w:b/>
                <w:szCs w:val="21"/>
                <w:lang w:eastAsia="da-DK"/>
              </w:rPr>
            </w:pPr>
            <w:r w:rsidRPr="00524D47">
              <w:rPr>
                <w:rFonts w:eastAsia="Times New Roman"/>
                <w:b/>
                <w:szCs w:val="21"/>
                <w:lang w:eastAsia="da-DK"/>
              </w:rPr>
              <w:t xml:space="preserve">Hvornår opdateres data </w:t>
            </w:r>
            <w:r>
              <w:rPr>
                <w:rFonts w:eastAsia="Times New Roman"/>
                <w:b/>
                <w:szCs w:val="21"/>
                <w:lang w:eastAsia="da-DK"/>
              </w:rPr>
              <w:t>næste</w:t>
            </w:r>
            <w:r w:rsidRPr="00524D47">
              <w:rPr>
                <w:rFonts w:eastAsia="Times New Roman"/>
                <w:b/>
                <w:szCs w:val="21"/>
                <w:lang w:eastAsia="da-DK"/>
              </w:rPr>
              <w:t xml:space="preserve"> gang (ca.)?</w:t>
            </w:r>
          </w:p>
        </w:tc>
      </w:tr>
      <w:tr w:rsidR="00A152BE" w14:paraId="24675018" w14:textId="77777777" w:rsidTr="009C2220">
        <w:tc>
          <w:tcPr>
            <w:tcW w:w="3970" w:type="dxa"/>
          </w:tcPr>
          <w:p w14:paraId="22619CD9" w14:textId="77777777" w:rsidR="00A152BE" w:rsidRDefault="00A152BE" w:rsidP="00092E7B">
            <w:pPr>
              <w:spacing w:after="240"/>
              <w:rPr>
                <w:rFonts w:eastAsia="Times New Roman"/>
                <w:szCs w:val="21"/>
                <w:lang w:eastAsia="da-DK"/>
              </w:rPr>
            </w:pPr>
            <w:r>
              <w:rPr>
                <w:rFonts w:eastAsia="Times New Roman"/>
                <w:szCs w:val="21"/>
                <w:lang w:eastAsia="da-DK"/>
              </w:rPr>
              <w:t>Regnskabsdata</w:t>
            </w:r>
          </w:p>
        </w:tc>
        <w:tc>
          <w:tcPr>
            <w:tcW w:w="5415" w:type="dxa"/>
          </w:tcPr>
          <w:p w14:paraId="15CAF89E" w14:textId="46CE39DE" w:rsidR="00A152BE" w:rsidRDefault="005663D3" w:rsidP="0050326E">
            <w:pPr>
              <w:spacing w:after="240"/>
              <w:rPr>
                <w:rFonts w:eastAsia="Times New Roman"/>
                <w:szCs w:val="21"/>
                <w:lang w:eastAsia="da-DK"/>
              </w:rPr>
            </w:pPr>
            <w:r>
              <w:rPr>
                <w:rFonts w:eastAsia="Times New Roman"/>
                <w:szCs w:val="21"/>
                <w:lang w:eastAsia="da-DK"/>
              </w:rPr>
              <w:t>Regnskabsåret 20</w:t>
            </w:r>
            <w:r w:rsidR="005A552F">
              <w:rPr>
                <w:rFonts w:eastAsia="Times New Roman"/>
                <w:szCs w:val="21"/>
                <w:lang w:eastAsia="da-DK"/>
              </w:rPr>
              <w:t>2</w:t>
            </w:r>
            <w:r w:rsidR="002B309B">
              <w:rPr>
                <w:rFonts w:eastAsia="Times New Roman"/>
                <w:szCs w:val="21"/>
                <w:lang w:eastAsia="da-DK"/>
              </w:rPr>
              <w:t>2</w:t>
            </w:r>
          </w:p>
          <w:p w14:paraId="26B07953" w14:textId="332BCA62" w:rsidR="00A152BE" w:rsidRDefault="00A152BE" w:rsidP="005663D3">
            <w:pPr>
              <w:spacing w:after="240"/>
              <w:rPr>
                <w:rFonts w:eastAsia="Times New Roman"/>
                <w:szCs w:val="21"/>
                <w:lang w:eastAsia="da-DK"/>
              </w:rPr>
            </w:pPr>
            <w:r>
              <w:rPr>
                <w:szCs w:val="21"/>
              </w:rPr>
              <w:t>Opdateres n</w:t>
            </w:r>
            <w:r w:rsidRPr="00C526F7">
              <w:rPr>
                <w:szCs w:val="21"/>
              </w:rPr>
              <w:t>år</w:t>
            </w:r>
            <w:r w:rsidR="005663D3">
              <w:rPr>
                <w:szCs w:val="21"/>
              </w:rPr>
              <w:t xml:space="preserve"> minimum</w:t>
            </w:r>
            <w:r w:rsidRPr="00C526F7">
              <w:rPr>
                <w:szCs w:val="21"/>
              </w:rPr>
              <w:t xml:space="preserve"> 80 % af regnskaberne</w:t>
            </w:r>
            <w:r>
              <w:rPr>
                <w:szCs w:val="21"/>
              </w:rPr>
              <w:t xml:space="preserve"> for 20</w:t>
            </w:r>
            <w:r w:rsidR="00B77A05">
              <w:rPr>
                <w:szCs w:val="21"/>
              </w:rPr>
              <w:t>2</w:t>
            </w:r>
            <w:r w:rsidR="002B309B">
              <w:rPr>
                <w:szCs w:val="21"/>
              </w:rPr>
              <w:t>2</w:t>
            </w:r>
            <w:r>
              <w:rPr>
                <w:szCs w:val="21"/>
              </w:rPr>
              <w:t xml:space="preserve"> er indberettet.</w:t>
            </w:r>
            <w:r>
              <w:rPr>
                <w:rStyle w:val="Fodnotehenvisning"/>
                <w:rFonts w:eastAsia="Times New Roman"/>
                <w:szCs w:val="21"/>
                <w:lang w:eastAsia="da-DK"/>
              </w:rPr>
              <w:t xml:space="preserve"> </w:t>
            </w:r>
            <w:r>
              <w:rPr>
                <w:rStyle w:val="Fodnotehenvisning"/>
                <w:rFonts w:eastAsia="Times New Roman"/>
                <w:szCs w:val="21"/>
                <w:lang w:eastAsia="da-DK"/>
              </w:rPr>
              <w:footnoteReference w:id="1"/>
            </w:r>
          </w:p>
        </w:tc>
        <w:tc>
          <w:tcPr>
            <w:tcW w:w="5670" w:type="dxa"/>
          </w:tcPr>
          <w:p w14:paraId="5B2B3A45" w14:textId="2A1D75EA" w:rsidR="00A152BE" w:rsidRDefault="005663D3" w:rsidP="00F46E10">
            <w:pPr>
              <w:spacing w:after="240"/>
              <w:rPr>
                <w:rFonts w:eastAsia="Times New Roman"/>
                <w:szCs w:val="21"/>
                <w:lang w:eastAsia="da-DK"/>
              </w:rPr>
            </w:pPr>
            <w:r>
              <w:rPr>
                <w:rFonts w:eastAsia="Times New Roman"/>
                <w:szCs w:val="21"/>
                <w:lang w:eastAsia="da-DK"/>
              </w:rPr>
              <w:t>Opdateres til regnskabsåret 20</w:t>
            </w:r>
            <w:r w:rsidR="00B77A05">
              <w:rPr>
                <w:rFonts w:eastAsia="Times New Roman"/>
                <w:szCs w:val="21"/>
                <w:lang w:eastAsia="da-DK"/>
              </w:rPr>
              <w:t>2</w:t>
            </w:r>
            <w:r w:rsidR="002B309B">
              <w:rPr>
                <w:rFonts w:eastAsia="Times New Roman"/>
                <w:szCs w:val="21"/>
                <w:lang w:eastAsia="da-DK"/>
              </w:rPr>
              <w:t>3</w:t>
            </w:r>
            <w:r w:rsidR="00A152BE">
              <w:rPr>
                <w:rFonts w:eastAsia="Times New Roman"/>
                <w:szCs w:val="21"/>
                <w:lang w:eastAsia="da-DK"/>
              </w:rPr>
              <w:t xml:space="preserve"> ca. </w:t>
            </w:r>
            <w:r>
              <w:rPr>
                <w:rFonts w:eastAsia="Times New Roman"/>
                <w:szCs w:val="21"/>
                <w:lang w:eastAsia="da-DK"/>
              </w:rPr>
              <w:t>august 20</w:t>
            </w:r>
            <w:r w:rsidR="002755D0">
              <w:rPr>
                <w:rFonts w:eastAsia="Times New Roman"/>
                <w:szCs w:val="21"/>
                <w:lang w:eastAsia="da-DK"/>
              </w:rPr>
              <w:t>2</w:t>
            </w:r>
            <w:r w:rsidR="002B309B">
              <w:rPr>
                <w:rFonts w:eastAsia="Times New Roman"/>
                <w:szCs w:val="21"/>
                <w:lang w:eastAsia="da-DK"/>
              </w:rPr>
              <w:t>4</w:t>
            </w:r>
            <w:r w:rsidR="00092E7B">
              <w:rPr>
                <w:rFonts w:eastAsia="Times New Roman"/>
                <w:szCs w:val="21"/>
                <w:lang w:eastAsia="da-DK"/>
              </w:rPr>
              <w:t>.</w:t>
            </w:r>
          </w:p>
        </w:tc>
      </w:tr>
      <w:tr w:rsidR="00A152BE" w14:paraId="0421570D" w14:textId="77777777" w:rsidTr="009C2220">
        <w:tc>
          <w:tcPr>
            <w:tcW w:w="3970" w:type="dxa"/>
          </w:tcPr>
          <w:p w14:paraId="2A787932" w14:textId="77777777" w:rsidR="00A152BE" w:rsidRDefault="00A152BE" w:rsidP="0050326E">
            <w:pPr>
              <w:rPr>
                <w:rFonts w:eastAsia="Times New Roman"/>
                <w:szCs w:val="21"/>
                <w:lang w:eastAsia="da-DK"/>
              </w:rPr>
            </w:pPr>
            <w:r>
              <w:rPr>
                <w:rFonts w:eastAsia="Times New Roman"/>
                <w:szCs w:val="21"/>
                <w:lang w:eastAsia="da-DK"/>
              </w:rPr>
              <w:t>Stamdata (lejemålsenheder, afdelingsstørrelse mv.)</w:t>
            </w:r>
          </w:p>
        </w:tc>
        <w:tc>
          <w:tcPr>
            <w:tcW w:w="5415" w:type="dxa"/>
          </w:tcPr>
          <w:p w14:paraId="6ACE29C9" w14:textId="0F8DC2DE" w:rsidR="00A152BE" w:rsidRDefault="00A152BE" w:rsidP="00092E7B">
            <w:pPr>
              <w:spacing w:after="240"/>
              <w:rPr>
                <w:rFonts w:eastAsia="Times New Roman"/>
                <w:szCs w:val="21"/>
                <w:lang w:eastAsia="da-DK"/>
              </w:rPr>
            </w:pPr>
            <w:r>
              <w:rPr>
                <w:rFonts w:eastAsia="Times New Roman"/>
                <w:szCs w:val="21"/>
                <w:lang w:eastAsia="da-DK"/>
              </w:rPr>
              <w:t>Regnskabsperiodens afslut</w:t>
            </w:r>
            <w:r w:rsidR="00A25474">
              <w:rPr>
                <w:rFonts w:eastAsia="Times New Roman"/>
                <w:szCs w:val="21"/>
                <w:lang w:eastAsia="da-DK"/>
              </w:rPr>
              <w:t xml:space="preserve">ningstidspunkt </w:t>
            </w:r>
          </w:p>
        </w:tc>
        <w:tc>
          <w:tcPr>
            <w:tcW w:w="5670" w:type="dxa"/>
          </w:tcPr>
          <w:p w14:paraId="0225EDD3" w14:textId="77777777" w:rsidR="00A152BE" w:rsidRDefault="00A152BE" w:rsidP="00092E7B">
            <w:pPr>
              <w:spacing w:after="240"/>
              <w:rPr>
                <w:rFonts w:eastAsia="Times New Roman"/>
                <w:szCs w:val="21"/>
                <w:lang w:eastAsia="da-DK"/>
              </w:rPr>
            </w:pPr>
            <w:r>
              <w:rPr>
                <w:rFonts w:eastAsia="Times New Roman"/>
                <w:szCs w:val="21"/>
                <w:lang w:eastAsia="da-DK"/>
              </w:rPr>
              <w:t>Sammen med regnskabsdata</w:t>
            </w:r>
          </w:p>
        </w:tc>
      </w:tr>
      <w:tr w:rsidR="00B77A05" w14:paraId="074764E9" w14:textId="77777777" w:rsidTr="009C2220">
        <w:tc>
          <w:tcPr>
            <w:tcW w:w="3970" w:type="dxa"/>
          </w:tcPr>
          <w:p w14:paraId="2AA20192" w14:textId="0A62CDDA" w:rsidR="00B77A05" w:rsidRDefault="00B77A05" w:rsidP="0050326E">
            <w:pPr>
              <w:rPr>
                <w:rFonts w:eastAsia="Times New Roman"/>
                <w:szCs w:val="21"/>
                <w:lang w:eastAsia="da-DK"/>
              </w:rPr>
            </w:pPr>
            <w:r>
              <w:rPr>
                <w:rFonts w:eastAsia="Times New Roman"/>
                <w:szCs w:val="21"/>
                <w:lang w:eastAsia="da-DK"/>
              </w:rPr>
              <w:t>Udearealer</w:t>
            </w:r>
          </w:p>
        </w:tc>
        <w:tc>
          <w:tcPr>
            <w:tcW w:w="5415" w:type="dxa"/>
          </w:tcPr>
          <w:p w14:paraId="24231016" w14:textId="326905CD" w:rsidR="00B77A05" w:rsidRDefault="005A552F" w:rsidP="00092E7B">
            <w:pPr>
              <w:spacing w:after="240"/>
              <w:rPr>
                <w:rFonts w:eastAsia="Times New Roman"/>
                <w:szCs w:val="21"/>
                <w:lang w:eastAsia="da-DK"/>
              </w:rPr>
            </w:pPr>
            <w:r>
              <w:rPr>
                <w:rFonts w:eastAsia="Times New Roman"/>
                <w:szCs w:val="21"/>
                <w:lang w:eastAsia="da-DK"/>
              </w:rPr>
              <w:t>202</w:t>
            </w:r>
            <w:r w:rsidR="002B309B">
              <w:rPr>
                <w:rFonts w:eastAsia="Times New Roman"/>
                <w:szCs w:val="21"/>
                <w:lang w:eastAsia="da-DK"/>
              </w:rPr>
              <w:t>3</w:t>
            </w:r>
          </w:p>
        </w:tc>
        <w:tc>
          <w:tcPr>
            <w:tcW w:w="5670" w:type="dxa"/>
          </w:tcPr>
          <w:p w14:paraId="702CF1DB" w14:textId="1FD3959A" w:rsidR="00B77A05" w:rsidRDefault="009C2220" w:rsidP="00092E7B">
            <w:pPr>
              <w:spacing w:after="240"/>
              <w:rPr>
                <w:rFonts w:eastAsia="Times New Roman"/>
                <w:szCs w:val="21"/>
                <w:lang w:eastAsia="da-DK"/>
              </w:rPr>
            </w:pPr>
            <w:r>
              <w:rPr>
                <w:rFonts w:eastAsia="Times New Roman"/>
                <w:szCs w:val="21"/>
                <w:lang w:eastAsia="da-DK"/>
              </w:rPr>
              <w:t>202</w:t>
            </w:r>
            <w:r w:rsidR="005A552F">
              <w:rPr>
                <w:rFonts w:eastAsia="Times New Roman"/>
                <w:szCs w:val="21"/>
                <w:lang w:eastAsia="da-DK"/>
              </w:rPr>
              <w:t>4</w:t>
            </w:r>
          </w:p>
        </w:tc>
      </w:tr>
      <w:tr w:rsidR="00B77A05" w14:paraId="17DBAAD4" w14:textId="77777777" w:rsidTr="009C2220">
        <w:tc>
          <w:tcPr>
            <w:tcW w:w="3970" w:type="dxa"/>
          </w:tcPr>
          <w:p w14:paraId="6D3D5B8D" w14:textId="2ED9997C" w:rsidR="00B77A05" w:rsidRPr="006D64ED" w:rsidRDefault="00B77A05" w:rsidP="0050326E">
            <w:pPr>
              <w:rPr>
                <w:rFonts w:eastAsia="Times New Roman"/>
                <w:szCs w:val="21"/>
                <w:lang w:eastAsia="da-DK"/>
              </w:rPr>
            </w:pPr>
            <w:r w:rsidRPr="006D64ED">
              <w:rPr>
                <w:rFonts w:eastAsia="Times New Roman"/>
                <w:szCs w:val="21"/>
                <w:lang w:eastAsia="da-DK"/>
              </w:rPr>
              <w:t>Effektivitetsdata</w:t>
            </w:r>
          </w:p>
        </w:tc>
        <w:tc>
          <w:tcPr>
            <w:tcW w:w="5415" w:type="dxa"/>
          </w:tcPr>
          <w:p w14:paraId="65EE16E0" w14:textId="244951B1" w:rsidR="00B77A05" w:rsidRPr="006D64ED" w:rsidRDefault="00B77A05" w:rsidP="00092E7B">
            <w:pPr>
              <w:spacing w:after="240"/>
              <w:rPr>
                <w:rFonts w:eastAsia="Times New Roman"/>
                <w:szCs w:val="21"/>
                <w:lang w:eastAsia="da-DK"/>
              </w:rPr>
            </w:pPr>
            <w:r w:rsidRPr="006D64ED">
              <w:rPr>
                <w:rFonts w:eastAsia="Times New Roman"/>
                <w:szCs w:val="21"/>
                <w:lang w:eastAsia="da-DK"/>
              </w:rPr>
              <w:t>Effektivitetstal opgjort august 202</w:t>
            </w:r>
            <w:r w:rsidR="002B309B">
              <w:rPr>
                <w:rFonts w:eastAsia="Times New Roman"/>
                <w:szCs w:val="21"/>
                <w:lang w:eastAsia="da-DK"/>
              </w:rPr>
              <w:t>3</w:t>
            </w:r>
            <w:r w:rsidRPr="006D64ED">
              <w:rPr>
                <w:rFonts w:eastAsia="Times New Roman"/>
                <w:szCs w:val="21"/>
                <w:lang w:eastAsia="da-DK"/>
              </w:rPr>
              <w:t>, baseret på regnskabsår 20</w:t>
            </w:r>
            <w:r w:rsidR="006D64ED" w:rsidRPr="006D64ED">
              <w:rPr>
                <w:rFonts w:eastAsia="Times New Roman"/>
                <w:szCs w:val="21"/>
                <w:lang w:eastAsia="da-DK"/>
              </w:rPr>
              <w:t>2</w:t>
            </w:r>
            <w:r w:rsidR="002B309B">
              <w:rPr>
                <w:rFonts w:eastAsia="Times New Roman"/>
                <w:szCs w:val="21"/>
                <w:lang w:eastAsia="da-DK"/>
              </w:rPr>
              <w:t>2</w:t>
            </w:r>
            <w:r w:rsidRPr="006D64ED">
              <w:rPr>
                <w:rFonts w:eastAsia="Times New Roman"/>
                <w:szCs w:val="21"/>
                <w:lang w:eastAsia="da-DK"/>
              </w:rPr>
              <w:t>.</w:t>
            </w:r>
          </w:p>
        </w:tc>
        <w:tc>
          <w:tcPr>
            <w:tcW w:w="5670" w:type="dxa"/>
          </w:tcPr>
          <w:p w14:paraId="79F06EE8" w14:textId="67E9DE4E" w:rsidR="00B77A05" w:rsidRPr="006D64ED" w:rsidRDefault="00B77A05" w:rsidP="00092E7B">
            <w:pPr>
              <w:spacing w:after="240"/>
              <w:rPr>
                <w:rFonts w:eastAsia="Times New Roman"/>
                <w:szCs w:val="21"/>
                <w:lang w:eastAsia="da-DK"/>
              </w:rPr>
            </w:pPr>
            <w:r w:rsidRPr="006D64ED">
              <w:rPr>
                <w:rFonts w:eastAsia="Times New Roman"/>
                <w:szCs w:val="21"/>
                <w:lang w:eastAsia="da-DK"/>
              </w:rPr>
              <w:t>Opdateres med effektivitetstal opgjort august 202</w:t>
            </w:r>
            <w:r w:rsidR="002B309B">
              <w:rPr>
                <w:rFonts w:eastAsia="Times New Roman"/>
                <w:szCs w:val="21"/>
                <w:lang w:eastAsia="da-DK"/>
              </w:rPr>
              <w:t>4</w:t>
            </w:r>
            <w:r w:rsidRPr="006D64ED">
              <w:rPr>
                <w:rFonts w:eastAsia="Times New Roman"/>
                <w:szCs w:val="21"/>
                <w:lang w:eastAsia="da-DK"/>
              </w:rPr>
              <w:t>, baseret på regnskabsår 202</w:t>
            </w:r>
            <w:r w:rsidR="002B309B">
              <w:rPr>
                <w:rFonts w:eastAsia="Times New Roman"/>
                <w:szCs w:val="21"/>
                <w:lang w:eastAsia="da-DK"/>
              </w:rPr>
              <w:t>3</w:t>
            </w:r>
            <w:r w:rsidRPr="006D64ED">
              <w:rPr>
                <w:rFonts w:eastAsia="Times New Roman"/>
                <w:szCs w:val="21"/>
                <w:lang w:eastAsia="da-DK"/>
              </w:rPr>
              <w:t>, i august/september 202</w:t>
            </w:r>
            <w:r w:rsidR="002B309B">
              <w:rPr>
                <w:rFonts w:eastAsia="Times New Roman"/>
                <w:szCs w:val="21"/>
                <w:lang w:eastAsia="da-DK"/>
              </w:rPr>
              <w:t>4</w:t>
            </w:r>
            <w:r w:rsidRPr="006D64ED">
              <w:rPr>
                <w:rFonts w:eastAsia="Times New Roman"/>
                <w:szCs w:val="21"/>
                <w:lang w:eastAsia="da-DK"/>
              </w:rPr>
              <w:t>.</w:t>
            </w:r>
          </w:p>
        </w:tc>
      </w:tr>
      <w:tr w:rsidR="00A152BE" w14:paraId="3E9E1FE4" w14:textId="77777777" w:rsidTr="009C2220">
        <w:tc>
          <w:tcPr>
            <w:tcW w:w="3970" w:type="dxa"/>
          </w:tcPr>
          <w:p w14:paraId="0E154553" w14:textId="77777777" w:rsidR="00A152BE" w:rsidRPr="00CB5B31" w:rsidRDefault="00A152BE" w:rsidP="003F0134">
            <w:pPr>
              <w:rPr>
                <w:rFonts w:eastAsia="Times New Roman"/>
                <w:szCs w:val="21"/>
                <w:lang w:eastAsia="da-DK"/>
              </w:rPr>
            </w:pPr>
            <w:r>
              <w:rPr>
                <w:rFonts w:eastAsia="Times New Roman"/>
                <w:szCs w:val="21"/>
                <w:lang w:eastAsia="da-DK"/>
              </w:rPr>
              <w:t>Antal beboere</w:t>
            </w:r>
          </w:p>
        </w:tc>
        <w:tc>
          <w:tcPr>
            <w:tcW w:w="5415" w:type="dxa"/>
          </w:tcPr>
          <w:p w14:paraId="61114314" w14:textId="12206A4B" w:rsidR="00A152BE" w:rsidRDefault="00A152BE" w:rsidP="00475695">
            <w:pPr>
              <w:spacing w:after="240"/>
              <w:rPr>
                <w:rFonts w:eastAsia="Times New Roman"/>
                <w:szCs w:val="21"/>
                <w:lang w:eastAsia="da-DK"/>
              </w:rPr>
            </w:pPr>
            <w:r>
              <w:rPr>
                <w:szCs w:val="21"/>
              </w:rPr>
              <w:t>Da</w:t>
            </w:r>
            <w:r w:rsidR="003C76BD">
              <w:rPr>
                <w:szCs w:val="21"/>
              </w:rPr>
              <w:t>ta er opgjort pr. 1. januar 20</w:t>
            </w:r>
            <w:r w:rsidR="00B77A05">
              <w:rPr>
                <w:szCs w:val="21"/>
              </w:rPr>
              <w:t>2</w:t>
            </w:r>
            <w:r w:rsidR="00C206CE">
              <w:rPr>
                <w:szCs w:val="21"/>
              </w:rPr>
              <w:t>2</w:t>
            </w:r>
            <w:r>
              <w:rPr>
                <w:szCs w:val="21"/>
              </w:rPr>
              <w:t xml:space="preserve">, baseret på adressegrundlag pr. </w:t>
            </w:r>
            <w:r w:rsidR="003C76BD">
              <w:rPr>
                <w:szCs w:val="21"/>
              </w:rPr>
              <w:t xml:space="preserve">1. januar </w:t>
            </w:r>
            <w:r>
              <w:rPr>
                <w:szCs w:val="21"/>
              </w:rPr>
              <w:t>20</w:t>
            </w:r>
            <w:r w:rsidR="00B77A05">
              <w:rPr>
                <w:szCs w:val="21"/>
              </w:rPr>
              <w:t>2</w:t>
            </w:r>
            <w:r w:rsidR="00C206CE">
              <w:rPr>
                <w:szCs w:val="21"/>
              </w:rPr>
              <w:t>2</w:t>
            </w:r>
            <w:r>
              <w:rPr>
                <w:szCs w:val="21"/>
              </w:rPr>
              <w:t>.</w:t>
            </w:r>
          </w:p>
        </w:tc>
        <w:tc>
          <w:tcPr>
            <w:tcW w:w="5670" w:type="dxa"/>
          </w:tcPr>
          <w:p w14:paraId="6E474139" w14:textId="67BD6ECB" w:rsidR="00A152BE" w:rsidRDefault="00A152BE" w:rsidP="008C0058">
            <w:pPr>
              <w:spacing w:after="240"/>
              <w:rPr>
                <w:rFonts w:eastAsia="Times New Roman"/>
                <w:szCs w:val="21"/>
                <w:lang w:eastAsia="da-DK"/>
              </w:rPr>
            </w:pPr>
            <w:r>
              <w:rPr>
                <w:szCs w:val="21"/>
              </w:rPr>
              <w:t>Opdat</w:t>
            </w:r>
            <w:r w:rsidR="003C76BD">
              <w:rPr>
                <w:szCs w:val="21"/>
              </w:rPr>
              <w:t>eres til data for 1. januar 2</w:t>
            </w:r>
            <w:r w:rsidR="000264D0">
              <w:rPr>
                <w:szCs w:val="21"/>
              </w:rPr>
              <w:t>0</w:t>
            </w:r>
            <w:r w:rsidR="002755D0">
              <w:rPr>
                <w:szCs w:val="21"/>
              </w:rPr>
              <w:t>2</w:t>
            </w:r>
            <w:r w:rsidR="00C206CE">
              <w:rPr>
                <w:szCs w:val="21"/>
              </w:rPr>
              <w:t>3</w:t>
            </w:r>
            <w:r>
              <w:rPr>
                <w:szCs w:val="21"/>
              </w:rPr>
              <w:t xml:space="preserve"> </w:t>
            </w:r>
            <w:r w:rsidR="00E906D2">
              <w:rPr>
                <w:szCs w:val="21"/>
              </w:rPr>
              <w:t xml:space="preserve">i </w:t>
            </w:r>
            <w:r w:rsidR="007B6E0A">
              <w:rPr>
                <w:szCs w:val="21"/>
              </w:rPr>
              <w:t>oktober/november</w:t>
            </w:r>
            <w:r w:rsidR="000945D5">
              <w:rPr>
                <w:szCs w:val="21"/>
              </w:rPr>
              <w:t xml:space="preserve"> 20</w:t>
            </w:r>
            <w:r w:rsidR="002755D0">
              <w:rPr>
                <w:szCs w:val="21"/>
              </w:rPr>
              <w:t>2</w:t>
            </w:r>
            <w:r w:rsidR="00C206CE">
              <w:rPr>
                <w:szCs w:val="21"/>
              </w:rPr>
              <w:t>3</w:t>
            </w:r>
            <w:r w:rsidR="000945D5">
              <w:rPr>
                <w:szCs w:val="21"/>
              </w:rPr>
              <w:t>.</w:t>
            </w:r>
          </w:p>
        </w:tc>
      </w:tr>
      <w:tr w:rsidR="00A152BE" w14:paraId="65E79E83" w14:textId="77777777" w:rsidTr="009C2220">
        <w:tc>
          <w:tcPr>
            <w:tcW w:w="3970" w:type="dxa"/>
          </w:tcPr>
          <w:p w14:paraId="533A5527" w14:textId="77777777" w:rsidR="00A152BE" w:rsidRDefault="00A152BE" w:rsidP="002A2BBC">
            <w:pPr>
              <w:rPr>
                <w:rFonts w:eastAsia="Times New Roman"/>
                <w:szCs w:val="21"/>
                <w:lang w:eastAsia="da-DK"/>
              </w:rPr>
            </w:pPr>
            <w:r w:rsidRPr="00CB5B31">
              <w:rPr>
                <w:rFonts w:eastAsia="Times New Roman"/>
                <w:szCs w:val="21"/>
                <w:lang w:eastAsia="da-DK"/>
              </w:rPr>
              <w:t>Andel indvandrere/</w:t>
            </w:r>
            <w:r>
              <w:rPr>
                <w:rFonts w:eastAsia="Times New Roman"/>
                <w:szCs w:val="21"/>
                <w:lang w:eastAsia="da-DK"/>
              </w:rPr>
              <w:t>-</w:t>
            </w:r>
            <w:r w:rsidRPr="00CB5B31">
              <w:rPr>
                <w:rFonts w:eastAsia="Times New Roman"/>
                <w:szCs w:val="21"/>
                <w:lang w:eastAsia="da-DK"/>
              </w:rPr>
              <w:t>efterkommere fra ikke-vestlige lande</w:t>
            </w:r>
          </w:p>
        </w:tc>
        <w:tc>
          <w:tcPr>
            <w:tcW w:w="5415" w:type="dxa"/>
          </w:tcPr>
          <w:p w14:paraId="7FE1A583" w14:textId="6BF6DDA6" w:rsidR="00A152BE" w:rsidRDefault="00A152BE" w:rsidP="00475695">
            <w:pPr>
              <w:spacing w:after="240"/>
              <w:rPr>
                <w:rFonts w:eastAsia="Times New Roman"/>
                <w:szCs w:val="21"/>
                <w:lang w:eastAsia="da-DK"/>
              </w:rPr>
            </w:pPr>
            <w:r>
              <w:rPr>
                <w:szCs w:val="21"/>
              </w:rPr>
              <w:t>Data er opgjort pr. 1. januar 20</w:t>
            </w:r>
            <w:r w:rsidR="00B77A05">
              <w:rPr>
                <w:szCs w:val="21"/>
              </w:rPr>
              <w:t>2</w:t>
            </w:r>
            <w:r w:rsidR="00C206CE">
              <w:rPr>
                <w:szCs w:val="21"/>
              </w:rPr>
              <w:t>2</w:t>
            </w:r>
            <w:r>
              <w:rPr>
                <w:szCs w:val="21"/>
              </w:rPr>
              <w:t xml:space="preserve">, baseret på adressegrundlag pr. </w:t>
            </w:r>
            <w:r w:rsidR="003C76BD">
              <w:rPr>
                <w:szCs w:val="21"/>
              </w:rPr>
              <w:t>1. januar</w:t>
            </w:r>
            <w:r>
              <w:rPr>
                <w:szCs w:val="21"/>
              </w:rPr>
              <w:t xml:space="preserve"> 20</w:t>
            </w:r>
            <w:r w:rsidR="00B77A05">
              <w:rPr>
                <w:szCs w:val="21"/>
              </w:rPr>
              <w:t>2</w:t>
            </w:r>
            <w:r w:rsidR="00C206CE">
              <w:rPr>
                <w:szCs w:val="21"/>
              </w:rPr>
              <w:t>2</w:t>
            </w:r>
            <w:r>
              <w:rPr>
                <w:szCs w:val="21"/>
              </w:rPr>
              <w:t>.</w:t>
            </w:r>
          </w:p>
        </w:tc>
        <w:tc>
          <w:tcPr>
            <w:tcW w:w="5670" w:type="dxa"/>
          </w:tcPr>
          <w:p w14:paraId="0E978575" w14:textId="4B5A5DFE" w:rsidR="00A152BE" w:rsidRDefault="000945D5" w:rsidP="008C0058">
            <w:pPr>
              <w:spacing w:after="240"/>
              <w:rPr>
                <w:rFonts w:eastAsia="Times New Roman"/>
                <w:szCs w:val="21"/>
                <w:lang w:eastAsia="da-DK"/>
              </w:rPr>
            </w:pPr>
            <w:r>
              <w:rPr>
                <w:szCs w:val="21"/>
              </w:rPr>
              <w:t>Opdateres til data for 1. januar 20</w:t>
            </w:r>
            <w:r w:rsidR="002755D0">
              <w:rPr>
                <w:szCs w:val="21"/>
              </w:rPr>
              <w:t>2</w:t>
            </w:r>
            <w:r w:rsidR="00C206CE">
              <w:rPr>
                <w:szCs w:val="21"/>
              </w:rPr>
              <w:t>3</w:t>
            </w:r>
            <w:r>
              <w:rPr>
                <w:szCs w:val="21"/>
              </w:rPr>
              <w:t xml:space="preserve"> </w:t>
            </w:r>
            <w:r w:rsidR="00E906D2">
              <w:rPr>
                <w:szCs w:val="21"/>
              </w:rPr>
              <w:t xml:space="preserve">i </w:t>
            </w:r>
            <w:r w:rsidR="007B6E0A">
              <w:rPr>
                <w:szCs w:val="21"/>
              </w:rPr>
              <w:t xml:space="preserve">oktober/november </w:t>
            </w:r>
            <w:r>
              <w:rPr>
                <w:szCs w:val="21"/>
              </w:rPr>
              <w:t>20</w:t>
            </w:r>
            <w:r w:rsidR="002755D0">
              <w:rPr>
                <w:szCs w:val="21"/>
              </w:rPr>
              <w:t>2</w:t>
            </w:r>
            <w:r w:rsidR="00C206CE">
              <w:rPr>
                <w:szCs w:val="21"/>
              </w:rPr>
              <w:t>3</w:t>
            </w:r>
            <w:r>
              <w:rPr>
                <w:szCs w:val="21"/>
              </w:rPr>
              <w:t>.</w:t>
            </w:r>
          </w:p>
        </w:tc>
      </w:tr>
      <w:tr w:rsidR="00A152BE" w14:paraId="2FFC57F7" w14:textId="77777777" w:rsidTr="009C2220">
        <w:tc>
          <w:tcPr>
            <w:tcW w:w="3970" w:type="dxa"/>
          </w:tcPr>
          <w:p w14:paraId="01B8EC99" w14:textId="77777777" w:rsidR="00A152BE" w:rsidRDefault="00A152BE" w:rsidP="002A2BBC">
            <w:pPr>
              <w:rPr>
                <w:rFonts w:eastAsia="Times New Roman"/>
                <w:szCs w:val="21"/>
                <w:lang w:eastAsia="da-DK"/>
              </w:rPr>
            </w:pPr>
            <w:r w:rsidRPr="00CB5B31">
              <w:rPr>
                <w:rFonts w:eastAsia="Times New Roman"/>
                <w:szCs w:val="21"/>
                <w:lang w:eastAsia="da-DK"/>
              </w:rPr>
              <w:t>Andel udenfor arbejdsmarkedet</w:t>
            </w:r>
          </w:p>
        </w:tc>
        <w:tc>
          <w:tcPr>
            <w:tcW w:w="5415" w:type="dxa"/>
          </w:tcPr>
          <w:p w14:paraId="2E59575D" w14:textId="023D706D" w:rsidR="00A152BE" w:rsidRDefault="003C76BD" w:rsidP="005E43DC">
            <w:pPr>
              <w:spacing w:after="240"/>
              <w:rPr>
                <w:rFonts w:eastAsia="Times New Roman"/>
                <w:szCs w:val="21"/>
                <w:lang w:eastAsia="da-DK"/>
              </w:rPr>
            </w:pPr>
            <w:r>
              <w:rPr>
                <w:szCs w:val="21"/>
              </w:rPr>
              <w:t>For 20</w:t>
            </w:r>
            <w:r w:rsidR="005A552F">
              <w:rPr>
                <w:szCs w:val="21"/>
              </w:rPr>
              <w:t>2</w:t>
            </w:r>
            <w:r w:rsidR="00C206CE">
              <w:rPr>
                <w:szCs w:val="21"/>
              </w:rPr>
              <w:t>1</w:t>
            </w:r>
            <w:r w:rsidR="00A152BE">
              <w:rPr>
                <w:szCs w:val="21"/>
              </w:rPr>
              <w:t xml:space="preserve">, baseret på adressegrundlag pr. </w:t>
            </w:r>
            <w:r>
              <w:rPr>
                <w:szCs w:val="21"/>
              </w:rPr>
              <w:t>1. januar 20</w:t>
            </w:r>
            <w:r w:rsidR="00B77A05">
              <w:rPr>
                <w:szCs w:val="21"/>
              </w:rPr>
              <w:t>2</w:t>
            </w:r>
            <w:r w:rsidR="00C206CE">
              <w:rPr>
                <w:szCs w:val="21"/>
              </w:rPr>
              <w:t>2</w:t>
            </w:r>
            <w:r w:rsidR="00A152BE">
              <w:rPr>
                <w:szCs w:val="21"/>
              </w:rPr>
              <w:t>.</w:t>
            </w:r>
          </w:p>
        </w:tc>
        <w:tc>
          <w:tcPr>
            <w:tcW w:w="5670" w:type="dxa"/>
          </w:tcPr>
          <w:p w14:paraId="347963F4" w14:textId="4FEDC570" w:rsidR="00A152BE" w:rsidRDefault="00A152BE" w:rsidP="000264D0">
            <w:pPr>
              <w:spacing w:after="240"/>
              <w:rPr>
                <w:rFonts w:eastAsia="Times New Roman"/>
                <w:szCs w:val="21"/>
                <w:lang w:eastAsia="da-DK"/>
              </w:rPr>
            </w:pPr>
            <w:r>
              <w:rPr>
                <w:szCs w:val="21"/>
              </w:rPr>
              <w:t>Opdateres til d</w:t>
            </w:r>
            <w:r w:rsidRPr="001834EF">
              <w:rPr>
                <w:szCs w:val="21"/>
              </w:rPr>
              <w:t>ata for</w:t>
            </w:r>
            <w:r w:rsidR="003C76BD">
              <w:rPr>
                <w:szCs w:val="21"/>
              </w:rPr>
              <w:t xml:space="preserve"> 20</w:t>
            </w:r>
            <w:r w:rsidR="00B77A05">
              <w:rPr>
                <w:szCs w:val="21"/>
              </w:rPr>
              <w:t>2</w:t>
            </w:r>
            <w:r w:rsidR="00C206CE">
              <w:rPr>
                <w:szCs w:val="21"/>
              </w:rPr>
              <w:t>2</w:t>
            </w:r>
            <w:r w:rsidR="000264D0">
              <w:rPr>
                <w:szCs w:val="21"/>
              </w:rPr>
              <w:t xml:space="preserve"> </w:t>
            </w:r>
            <w:r w:rsidR="00E906D2">
              <w:rPr>
                <w:szCs w:val="21"/>
              </w:rPr>
              <w:t xml:space="preserve">i </w:t>
            </w:r>
            <w:r w:rsidR="007B6E0A">
              <w:rPr>
                <w:szCs w:val="21"/>
              </w:rPr>
              <w:t xml:space="preserve">oktober/november </w:t>
            </w:r>
            <w:r w:rsidR="003C76BD">
              <w:rPr>
                <w:szCs w:val="21"/>
              </w:rPr>
              <w:t>20</w:t>
            </w:r>
            <w:r w:rsidR="002755D0">
              <w:rPr>
                <w:szCs w:val="21"/>
              </w:rPr>
              <w:t>2</w:t>
            </w:r>
            <w:r w:rsidR="00C206CE">
              <w:rPr>
                <w:szCs w:val="21"/>
              </w:rPr>
              <w:t>3</w:t>
            </w:r>
            <w:r w:rsidR="003C76BD">
              <w:rPr>
                <w:szCs w:val="21"/>
              </w:rPr>
              <w:t>.</w:t>
            </w:r>
          </w:p>
        </w:tc>
      </w:tr>
      <w:tr w:rsidR="00A152BE" w14:paraId="10042AB1" w14:textId="77777777" w:rsidTr="009C2220">
        <w:trPr>
          <w:trHeight w:val="674"/>
        </w:trPr>
        <w:tc>
          <w:tcPr>
            <w:tcW w:w="3970" w:type="dxa"/>
          </w:tcPr>
          <w:p w14:paraId="7EC76DC7" w14:textId="77777777" w:rsidR="00A152BE" w:rsidRDefault="00A152BE" w:rsidP="002A2BBC">
            <w:pPr>
              <w:rPr>
                <w:rFonts w:eastAsia="Times New Roman"/>
                <w:szCs w:val="21"/>
                <w:lang w:eastAsia="da-DK"/>
              </w:rPr>
            </w:pPr>
            <w:r w:rsidRPr="00CB5B31">
              <w:rPr>
                <w:rFonts w:eastAsia="Times New Roman"/>
                <w:szCs w:val="21"/>
                <w:lang w:eastAsia="da-DK"/>
              </w:rPr>
              <w:t>Indkomst ift. gennemsnitlig landsindkomst</w:t>
            </w:r>
          </w:p>
        </w:tc>
        <w:tc>
          <w:tcPr>
            <w:tcW w:w="5415" w:type="dxa"/>
          </w:tcPr>
          <w:p w14:paraId="6BC87166" w14:textId="2948C611" w:rsidR="00A152BE" w:rsidRDefault="003C76BD" w:rsidP="009C2220">
            <w:pPr>
              <w:rPr>
                <w:rFonts w:eastAsia="Times New Roman"/>
                <w:szCs w:val="21"/>
                <w:lang w:eastAsia="da-DK"/>
              </w:rPr>
            </w:pPr>
            <w:r>
              <w:rPr>
                <w:szCs w:val="21"/>
              </w:rPr>
              <w:t>Indkomståret 20</w:t>
            </w:r>
            <w:r w:rsidR="009233B9">
              <w:rPr>
                <w:szCs w:val="21"/>
              </w:rPr>
              <w:t>21</w:t>
            </w:r>
            <w:r w:rsidR="00A152BE">
              <w:rPr>
                <w:szCs w:val="21"/>
              </w:rPr>
              <w:t>, baseret på adressegrundlag pr.</w:t>
            </w:r>
            <w:r>
              <w:rPr>
                <w:szCs w:val="21"/>
              </w:rPr>
              <w:t xml:space="preserve"> 1. januar 20</w:t>
            </w:r>
            <w:r w:rsidR="00B77A05">
              <w:rPr>
                <w:szCs w:val="21"/>
              </w:rPr>
              <w:t>2</w:t>
            </w:r>
            <w:r w:rsidR="009233B9">
              <w:rPr>
                <w:szCs w:val="21"/>
              </w:rPr>
              <w:t>2</w:t>
            </w:r>
            <w:r w:rsidR="00A152BE">
              <w:rPr>
                <w:szCs w:val="21"/>
              </w:rPr>
              <w:t>.</w:t>
            </w:r>
          </w:p>
        </w:tc>
        <w:tc>
          <w:tcPr>
            <w:tcW w:w="5670" w:type="dxa"/>
          </w:tcPr>
          <w:p w14:paraId="03B34900" w14:textId="6D92CED7" w:rsidR="00A152BE" w:rsidRDefault="00A152BE" w:rsidP="00475695">
            <w:pPr>
              <w:spacing w:after="240"/>
              <w:rPr>
                <w:rFonts w:eastAsia="Times New Roman"/>
                <w:szCs w:val="21"/>
                <w:lang w:eastAsia="da-DK"/>
              </w:rPr>
            </w:pPr>
            <w:r>
              <w:rPr>
                <w:szCs w:val="21"/>
              </w:rPr>
              <w:t>Opdateres til d</w:t>
            </w:r>
            <w:r w:rsidRPr="001834EF">
              <w:rPr>
                <w:szCs w:val="21"/>
              </w:rPr>
              <w:t>ata for</w:t>
            </w:r>
            <w:r w:rsidR="003C76BD">
              <w:rPr>
                <w:szCs w:val="21"/>
              </w:rPr>
              <w:t xml:space="preserve"> indkomståret 20</w:t>
            </w:r>
            <w:r w:rsidR="005A552F">
              <w:rPr>
                <w:szCs w:val="21"/>
              </w:rPr>
              <w:t>2</w:t>
            </w:r>
            <w:r w:rsidR="009233B9">
              <w:rPr>
                <w:szCs w:val="21"/>
              </w:rPr>
              <w:t>2</w:t>
            </w:r>
            <w:r w:rsidRPr="001834EF">
              <w:rPr>
                <w:szCs w:val="21"/>
              </w:rPr>
              <w:t xml:space="preserve"> </w:t>
            </w:r>
            <w:r w:rsidR="00E906D2">
              <w:rPr>
                <w:szCs w:val="21"/>
              </w:rPr>
              <w:t xml:space="preserve">i </w:t>
            </w:r>
            <w:r w:rsidR="009233B9">
              <w:rPr>
                <w:szCs w:val="21"/>
              </w:rPr>
              <w:t>oktober/november</w:t>
            </w:r>
            <w:r w:rsidR="007B6E0A">
              <w:rPr>
                <w:szCs w:val="21"/>
              </w:rPr>
              <w:t xml:space="preserve"> </w:t>
            </w:r>
            <w:r w:rsidR="000945D5">
              <w:rPr>
                <w:szCs w:val="21"/>
              </w:rPr>
              <w:t>20</w:t>
            </w:r>
            <w:r w:rsidR="002755D0">
              <w:rPr>
                <w:szCs w:val="21"/>
              </w:rPr>
              <w:t>2</w:t>
            </w:r>
            <w:r w:rsidR="00C206CE">
              <w:rPr>
                <w:szCs w:val="21"/>
              </w:rPr>
              <w:t>3</w:t>
            </w:r>
            <w:r w:rsidR="003C76BD">
              <w:rPr>
                <w:szCs w:val="21"/>
              </w:rPr>
              <w:t>.</w:t>
            </w:r>
          </w:p>
        </w:tc>
      </w:tr>
      <w:tr w:rsidR="00A152BE" w14:paraId="5F24B467" w14:textId="77777777" w:rsidTr="009C2220">
        <w:tc>
          <w:tcPr>
            <w:tcW w:w="3970" w:type="dxa"/>
          </w:tcPr>
          <w:p w14:paraId="0AE689CB" w14:textId="77777777" w:rsidR="00A152BE" w:rsidRDefault="00A152BE" w:rsidP="002A2BBC">
            <w:pPr>
              <w:spacing w:after="240"/>
              <w:rPr>
                <w:rFonts w:eastAsia="Times New Roman"/>
                <w:szCs w:val="21"/>
                <w:lang w:eastAsia="da-DK"/>
              </w:rPr>
            </w:pPr>
            <w:r w:rsidRPr="00CB5B31">
              <w:rPr>
                <w:rFonts w:eastAsia="Times New Roman"/>
                <w:szCs w:val="21"/>
                <w:lang w:eastAsia="da-DK"/>
              </w:rPr>
              <w:t>Andel personer uden uddannelse/uoplyst uddannelse</w:t>
            </w:r>
          </w:p>
        </w:tc>
        <w:tc>
          <w:tcPr>
            <w:tcW w:w="5415" w:type="dxa"/>
          </w:tcPr>
          <w:p w14:paraId="4940DAC8" w14:textId="08E2B4E8" w:rsidR="00A152BE" w:rsidRDefault="00A152BE" w:rsidP="00475695">
            <w:pPr>
              <w:spacing w:after="240"/>
              <w:rPr>
                <w:rFonts w:eastAsia="Times New Roman"/>
                <w:szCs w:val="21"/>
                <w:lang w:eastAsia="da-DK"/>
              </w:rPr>
            </w:pPr>
            <w:r>
              <w:rPr>
                <w:szCs w:val="21"/>
              </w:rPr>
              <w:t xml:space="preserve">Data er opgjort pr. 1. </w:t>
            </w:r>
            <w:r w:rsidR="005A552F">
              <w:rPr>
                <w:szCs w:val="21"/>
              </w:rPr>
              <w:t>oktober</w:t>
            </w:r>
            <w:r>
              <w:rPr>
                <w:szCs w:val="21"/>
              </w:rPr>
              <w:t xml:space="preserve"> 20</w:t>
            </w:r>
            <w:r w:rsidR="00B77A05">
              <w:rPr>
                <w:szCs w:val="21"/>
              </w:rPr>
              <w:t>2</w:t>
            </w:r>
            <w:r w:rsidR="00AB147D">
              <w:rPr>
                <w:szCs w:val="21"/>
              </w:rPr>
              <w:t>1</w:t>
            </w:r>
            <w:r>
              <w:rPr>
                <w:szCs w:val="21"/>
              </w:rPr>
              <w:t xml:space="preserve">, baseret på adressegrundlag pr. </w:t>
            </w:r>
            <w:r w:rsidR="003C76BD">
              <w:rPr>
                <w:szCs w:val="21"/>
              </w:rPr>
              <w:t>1. januar 20</w:t>
            </w:r>
            <w:r w:rsidR="00B77A05">
              <w:rPr>
                <w:szCs w:val="21"/>
              </w:rPr>
              <w:t>2</w:t>
            </w:r>
            <w:r w:rsidR="00AB147D">
              <w:rPr>
                <w:szCs w:val="21"/>
              </w:rPr>
              <w:t>2</w:t>
            </w:r>
            <w:r>
              <w:rPr>
                <w:szCs w:val="21"/>
              </w:rPr>
              <w:t>.</w:t>
            </w:r>
          </w:p>
        </w:tc>
        <w:tc>
          <w:tcPr>
            <w:tcW w:w="5670" w:type="dxa"/>
          </w:tcPr>
          <w:p w14:paraId="581600AC" w14:textId="40E1BB36" w:rsidR="00A152BE" w:rsidRPr="001F6993" w:rsidRDefault="000945D5" w:rsidP="00475695">
            <w:pPr>
              <w:spacing w:after="240"/>
              <w:rPr>
                <w:szCs w:val="21"/>
              </w:rPr>
            </w:pPr>
            <w:r>
              <w:rPr>
                <w:szCs w:val="21"/>
              </w:rPr>
              <w:t xml:space="preserve">Opdateres til data for 1. </w:t>
            </w:r>
            <w:r w:rsidR="005A552F">
              <w:rPr>
                <w:szCs w:val="21"/>
              </w:rPr>
              <w:t xml:space="preserve">oktober </w:t>
            </w:r>
            <w:r>
              <w:rPr>
                <w:szCs w:val="21"/>
              </w:rPr>
              <w:t>20</w:t>
            </w:r>
            <w:r w:rsidR="002755D0">
              <w:rPr>
                <w:szCs w:val="21"/>
              </w:rPr>
              <w:t>2</w:t>
            </w:r>
            <w:r w:rsidR="00544018">
              <w:rPr>
                <w:szCs w:val="21"/>
              </w:rPr>
              <w:t>2</w:t>
            </w:r>
            <w:r>
              <w:rPr>
                <w:szCs w:val="21"/>
              </w:rPr>
              <w:t xml:space="preserve"> </w:t>
            </w:r>
            <w:r w:rsidR="00E906D2">
              <w:rPr>
                <w:szCs w:val="21"/>
              </w:rPr>
              <w:t xml:space="preserve">i </w:t>
            </w:r>
            <w:r w:rsidR="007B6E0A">
              <w:rPr>
                <w:szCs w:val="21"/>
              </w:rPr>
              <w:t xml:space="preserve">oktober/november </w:t>
            </w:r>
            <w:r>
              <w:rPr>
                <w:szCs w:val="21"/>
              </w:rPr>
              <w:t>20</w:t>
            </w:r>
            <w:r w:rsidR="002755D0">
              <w:rPr>
                <w:szCs w:val="21"/>
              </w:rPr>
              <w:t>2</w:t>
            </w:r>
            <w:r w:rsidR="00544018">
              <w:rPr>
                <w:szCs w:val="21"/>
              </w:rPr>
              <w:t>3</w:t>
            </w:r>
            <w:r>
              <w:rPr>
                <w:szCs w:val="21"/>
              </w:rPr>
              <w:t>.</w:t>
            </w:r>
          </w:p>
        </w:tc>
      </w:tr>
    </w:tbl>
    <w:p w14:paraId="1E29BF2B" w14:textId="77777777" w:rsidR="00DF71D9" w:rsidRDefault="00DF71D9" w:rsidP="004E6984">
      <w:pPr>
        <w:spacing w:line="240" w:lineRule="auto"/>
        <w:ind w:left="-851"/>
        <w:rPr>
          <w:b/>
          <w:szCs w:val="21"/>
        </w:rPr>
      </w:pPr>
    </w:p>
    <w:p w14:paraId="634D7944" w14:textId="77777777" w:rsidR="005A552F" w:rsidRDefault="005A552F" w:rsidP="004E6984">
      <w:pPr>
        <w:spacing w:line="240" w:lineRule="auto"/>
        <w:ind w:left="-851"/>
        <w:rPr>
          <w:b/>
          <w:szCs w:val="21"/>
        </w:rPr>
        <w:sectPr w:rsidR="005A552F" w:rsidSect="0050326E">
          <w:headerReference w:type="first" r:id="rId8"/>
          <w:pgSz w:w="16838" w:h="11906" w:orient="landscape"/>
          <w:pgMar w:top="993" w:right="1560" w:bottom="567" w:left="1701" w:header="708" w:footer="708" w:gutter="0"/>
          <w:cols w:space="708"/>
          <w:titlePg/>
          <w:docGrid w:linePitch="360"/>
        </w:sectPr>
      </w:pPr>
    </w:p>
    <w:p w14:paraId="75FE0E59" w14:textId="2E321C9E" w:rsidR="00C03528" w:rsidRPr="00C03528" w:rsidRDefault="00C03528" w:rsidP="006D64ED">
      <w:pPr>
        <w:spacing w:line="240" w:lineRule="auto"/>
        <w:rPr>
          <w:b/>
          <w:szCs w:val="21"/>
        </w:rPr>
      </w:pPr>
      <w:r w:rsidRPr="00C03528">
        <w:rPr>
          <w:b/>
          <w:szCs w:val="21"/>
        </w:rPr>
        <w:lastRenderedPageBreak/>
        <w:t>Diskretionering</w:t>
      </w:r>
    </w:p>
    <w:p w14:paraId="2E7960C6" w14:textId="2155ACFE" w:rsidR="004E6984" w:rsidRDefault="004E6984" w:rsidP="006D64ED">
      <w:pPr>
        <w:spacing w:line="240" w:lineRule="auto"/>
        <w:rPr>
          <w:szCs w:val="21"/>
        </w:rPr>
      </w:pPr>
      <w:r>
        <w:rPr>
          <w:szCs w:val="21"/>
        </w:rPr>
        <w:t>Visning af socioøkonomiske data på afdelingsniveau omfattes af diskretionering, såfremt a</w:t>
      </w:r>
      <w:r w:rsidR="00DD0805" w:rsidRPr="001834EF">
        <w:rPr>
          <w:szCs w:val="21"/>
        </w:rPr>
        <w:t>fdelingen</w:t>
      </w:r>
      <w:r>
        <w:rPr>
          <w:szCs w:val="21"/>
        </w:rPr>
        <w:t xml:space="preserve"> har</w:t>
      </w:r>
      <w:r w:rsidR="00DD0805" w:rsidRPr="001834EF">
        <w:rPr>
          <w:szCs w:val="21"/>
        </w:rPr>
        <w:t xml:space="preserve"> mindre end 20 personer mellem 1</w:t>
      </w:r>
      <w:r w:rsidR="004A390D">
        <w:rPr>
          <w:szCs w:val="21"/>
        </w:rPr>
        <w:t>6</w:t>
      </w:r>
      <w:r w:rsidR="00DD0805" w:rsidRPr="001834EF">
        <w:rPr>
          <w:szCs w:val="21"/>
        </w:rPr>
        <w:t xml:space="preserve"> og 64 år. </w:t>
      </w:r>
      <w:r>
        <w:rPr>
          <w:szCs w:val="21"/>
        </w:rPr>
        <w:t>Tilsvarende diskretioneres data på boligorganisationsniveau</w:t>
      </w:r>
      <w:r w:rsidR="00BA7A27">
        <w:rPr>
          <w:szCs w:val="21"/>
        </w:rPr>
        <w:t>, hvis boligorganisationen har mindre end 20 personer mellem 1</w:t>
      </w:r>
      <w:r w:rsidR="004A390D">
        <w:rPr>
          <w:szCs w:val="21"/>
        </w:rPr>
        <w:t>6</w:t>
      </w:r>
      <w:r w:rsidR="00BA7A27">
        <w:rPr>
          <w:szCs w:val="21"/>
        </w:rPr>
        <w:t>-64 år.</w:t>
      </w:r>
    </w:p>
    <w:p w14:paraId="018249E6" w14:textId="77777777" w:rsidR="00123B7E" w:rsidRDefault="00FF16B1" w:rsidP="006D64ED">
      <w:pPr>
        <w:spacing w:line="240" w:lineRule="auto"/>
        <w:rPr>
          <w:b/>
          <w:szCs w:val="21"/>
        </w:rPr>
      </w:pPr>
      <w:r w:rsidRPr="00FF16B1">
        <w:rPr>
          <w:b/>
          <w:szCs w:val="21"/>
        </w:rPr>
        <w:t>Regnskabsdata</w:t>
      </w:r>
    </w:p>
    <w:p w14:paraId="7E59B858" w14:textId="77777777" w:rsidR="00F46E10" w:rsidRPr="00C526F7" w:rsidRDefault="00F46E10" w:rsidP="006D64ED">
      <w:pPr>
        <w:rPr>
          <w:szCs w:val="21"/>
        </w:rPr>
      </w:pPr>
      <w:r w:rsidRPr="00C526F7">
        <w:rPr>
          <w:szCs w:val="21"/>
        </w:rPr>
        <w:t>R</w:t>
      </w:r>
      <w:r>
        <w:rPr>
          <w:szCs w:val="21"/>
        </w:rPr>
        <w:t>e</w:t>
      </w:r>
      <w:r w:rsidR="00BA7A27">
        <w:rPr>
          <w:szCs w:val="21"/>
        </w:rPr>
        <w:t>gnskabsnøgletal</w:t>
      </w:r>
      <w:r w:rsidRPr="00C526F7">
        <w:rPr>
          <w:szCs w:val="21"/>
        </w:rPr>
        <w:t xml:space="preserve"> på boligorganisationsniveau opgøres pr. lejemålsenhed, og på afdelingsniveau opgøres de pr. m</w:t>
      </w:r>
      <w:r w:rsidRPr="00BA7A27">
        <w:rPr>
          <w:szCs w:val="21"/>
          <w:vertAlign w:val="superscript"/>
        </w:rPr>
        <w:t>2</w:t>
      </w:r>
      <w:r w:rsidRPr="00C526F7">
        <w:rPr>
          <w:szCs w:val="21"/>
        </w:rPr>
        <w:t>.</w:t>
      </w:r>
    </w:p>
    <w:p w14:paraId="53020639" w14:textId="051E49EC" w:rsidR="00123B7E" w:rsidRDefault="00123B7E" w:rsidP="006D64ED">
      <w:pPr>
        <w:spacing w:line="240" w:lineRule="auto"/>
        <w:rPr>
          <w:szCs w:val="21"/>
        </w:rPr>
      </w:pPr>
      <w:r w:rsidRPr="001834EF">
        <w:rPr>
          <w:szCs w:val="21"/>
        </w:rPr>
        <w:t>Regnskabsdatagrundlaget er nærmere beskrevet i ”Datagrundlag for Lands</w:t>
      </w:r>
      <w:r w:rsidR="00F46E10">
        <w:rPr>
          <w:szCs w:val="21"/>
        </w:rPr>
        <w:t>byggefondens regnskabsdatabase”, hvorfor der henvises til dette.</w:t>
      </w:r>
      <w:r w:rsidRPr="001834EF">
        <w:rPr>
          <w:szCs w:val="21"/>
        </w:rPr>
        <w:t xml:space="preserve"> </w:t>
      </w:r>
      <w:r w:rsidR="00F46E10">
        <w:rPr>
          <w:szCs w:val="21"/>
        </w:rPr>
        <w:t>Datagrundlaget kan findes</w:t>
      </w:r>
      <w:r w:rsidR="00FF16B1">
        <w:rPr>
          <w:szCs w:val="21"/>
        </w:rPr>
        <w:t xml:space="preserve"> på fondens hjemmeside eller i regnskabsdatabasen.</w:t>
      </w:r>
    </w:p>
    <w:p w14:paraId="1772F4CE" w14:textId="77777777" w:rsidR="00B77A05" w:rsidRDefault="00B77A05" w:rsidP="006D64ED">
      <w:pPr>
        <w:spacing w:line="240" w:lineRule="auto"/>
        <w:rPr>
          <w:b/>
          <w:bCs/>
          <w:szCs w:val="21"/>
        </w:rPr>
      </w:pPr>
      <w:r w:rsidRPr="00B77A05">
        <w:rPr>
          <w:b/>
          <w:bCs/>
          <w:szCs w:val="21"/>
        </w:rPr>
        <w:t>Effektivitetsdata</w:t>
      </w:r>
    </w:p>
    <w:p w14:paraId="27A0FDE3" w14:textId="6F6372E4" w:rsidR="00B77A05" w:rsidRPr="00B77A05" w:rsidRDefault="006D64ED" w:rsidP="006D64ED">
      <w:pPr>
        <w:spacing w:line="240" w:lineRule="auto"/>
        <w:rPr>
          <w:szCs w:val="21"/>
        </w:rPr>
      </w:pPr>
      <w:r w:rsidRPr="006D64ED">
        <w:rPr>
          <w:szCs w:val="21"/>
        </w:rPr>
        <w:t>Trafik-, Bygge- og Boligstyrelsen</w:t>
      </w:r>
      <w:r>
        <w:rPr>
          <w:szCs w:val="21"/>
        </w:rPr>
        <w:t xml:space="preserve">s </w:t>
      </w:r>
      <w:r w:rsidR="00B77A05" w:rsidRPr="00B77A05">
        <w:t>Effektivitetsenhed beregner effektivitetstal. Effektivitetstallene indgår i Almenstyringsdialog og opdateres heri 4 gange om året. Udover et effektivitetstal for de enkelte afdelinger vises også et gennemsnit for boligorganisationen.</w:t>
      </w:r>
    </w:p>
    <w:p w14:paraId="40641836" w14:textId="77777777" w:rsidR="00B77A05" w:rsidRDefault="00B77A05" w:rsidP="006D64ED">
      <w:pPr>
        <w:spacing w:line="240" w:lineRule="auto"/>
      </w:pPr>
      <w:r w:rsidRPr="00B77A05">
        <w:rPr>
          <w:szCs w:val="21"/>
        </w:rPr>
        <w:t>I Tvillingeværktøjet indgår effektivitetstallene, der opgøres</w:t>
      </w:r>
      <w:r w:rsidRPr="00B77A05">
        <w:t xml:space="preserve"> i august/september</w:t>
      </w:r>
      <w:r>
        <w:t>.</w:t>
      </w:r>
    </w:p>
    <w:p w14:paraId="3ACCF807" w14:textId="5C7D13C2" w:rsidR="00B77A05" w:rsidRPr="00B77A05" w:rsidRDefault="00B77A05" w:rsidP="006D64ED">
      <w:pPr>
        <w:spacing w:line="240" w:lineRule="auto"/>
        <w:rPr>
          <w:szCs w:val="21"/>
        </w:rPr>
      </w:pPr>
      <w:r>
        <w:t>Der henvises til datagrundlag, metodebeskrivelse mv. på effektiviseringsenhedens hjemmeside.</w:t>
      </w:r>
      <w:r w:rsidRPr="00B77A05">
        <w:t xml:space="preserve"> </w:t>
      </w:r>
    </w:p>
    <w:p w14:paraId="0FB5A0A3" w14:textId="3D4165D4" w:rsidR="00123B7E" w:rsidRPr="00C03528" w:rsidRDefault="00123B7E" w:rsidP="006D64ED">
      <w:pPr>
        <w:spacing w:line="240" w:lineRule="auto"/>
        <w:rPr>
          <w:b/>
          <w:szCs w:val="21"/>
        </w:rPr>
      </w:pPr>
      <w:r w:rsidRPr="00C03528">
        <w:rPr>
          <w:b/>
          <w:szCs w:val="21"/>
        </w:rPr>
        <w:t>Beregninger:</w:t>
      </w:r>
    </w:p>
    <w:p w14:paraId="45E03E38" w14:textId="77777777" w:rsidR="00123B7E" w:rsidRDefault="00123B7E" w:rsidP="006D64ED">
      <w:pPr>
        <w:spacing w:line="240" w:lineRule="auto"/>
        <w:rPr>
          <w:b/>
          <w:szCs w:val="21"/>
        </w:rPr>
      </w:pPr>
      <w:r w:rsidRPr="00C03528">
        <w:rPr>
          <w:b/>
          <w:szCs w:val="21"/>
        </w:rPr>
        <w:t>Afstandsmål</w:t>
      </w:r>
    </w:p>
    <w:p w14:paraId="74255D87" w14:textId="77777777" w:rsidR="006D64ED" w:rsidRDefault="005872CF" w:rsidP="006D64ED">
      <w:pPr>
        <w:rPr>
          <w:i/>
          <w:szCs w:val="21"/>
        </w:rPr>
      </w:pPr>
      <w:r>
        <w:rPr>
          <w:szCs w:val="21"/>
        </w:rPr>
        <w:t>Tvillingeværktøjet udsøger boligorganisationer/afdelinger der ligner en konkret boligorganisation/afdeling mest muligt ud fra de ovenfor de</w:t>
      </w:r>
      <w:r w:rsidR="00F046FE">
        <w:rPr>
          <w:szCs w:val="21"/>
        </w:rPr>
        <w:t>finerede baggrundsvariable. Det</w:t>
      </w:r>
      <w:r>
        <w:rPr>
          <w:szCs w:val="21"/>
        </w:rPr>
        <w:t xml:space="preserve"> sker ud fra en beregning af en ”afstand/forskel” mellem den konkrete boligorganis</w:t>
      </w:r>
      <w:r w:rsidR="00D15E3C">
        <w:rPr>
          <w:szCs w:val="21"/>
        </w:rPr>
        <w:t>ation/afdeling og tvillingerne på de enkelte baggrundsvariable, og vægtet som vist i Tabel 4 og Tabel 5. For en nærmere eksempelbeskrivelse af beregningen af afstandene, s</w:t>
      </w:r>
      <w:r>
        <w:rPr>
          <w:szCs w:val="21"/>
        </w:rPr>
        <w:t>e bilag 1.</w:t>
      </w:r>
      <w:r w:rsidR="00F046FE">
        <w:rPr>
          <w:szCs w:val="21"/>
        </w:rPr>
        <w:br/>
      </w:r>
    </w:p>
    <w:p w14:paraId="44A55E74" w14:textId="27AB5D41" w:rsidR="00F046FE" w:rsidRPr="00F046FE" w:rsidRDefault="00F046FE" w:rsidP="006D64ED">
      <w:pPr>
        <w:rPr>
          <w:i/>
          <w:szCs w:val="21"/>
        </w:rPr>
      </w:pPr>
      <w:r w:rsidRPr="00F046FE">
        <w:rPr>
          <w:i/>
          <w:szCs w:val="21"/>
        </w:rPr>
        <w:t xml:space="preserve">Tabel </w:t>
      </w:r>
      <w:r w:rsidR="00954521">
        <w:rPr>
          <w:i/>
          <w:szCs w:val="21"/>
        </w:rPr>
        <w:t>5</w:t>
      </w:r>
      <w:r w:rsidRPr="00F046FE">
        <w:rPr>
          <w:i/>
          <w:szCs w:val="21"/>
        </w:rPr>
        <w:t>: Beregning af afstandsmål på boligorganisationsniveau:</w:t>
      </w:r>
    </w:p>
    <w:tbl>
      <w:tblPr>
        <w:tblStyle w:val="Tabel-Gitter"/>
        <w:tblW w:w="0" w:type="auto"/>
        <w:jc w:val="center"/>
        <w:tblLook w:val="04A0" w:firstRow="1" w:lastRow="0" w:firstColumn="1" w:lastColumn="0" w:noHBand="0" w:noVBand="1"/>
      </w:tblPr>
      <w:tblGrid>
        <w:gridCol w:w="1964"/>
        <w:gridCol w:w="6286"/>
      </w:tblGrid>
      <w:tr w:rsidR="00D15E3C" w14:paraId="519934F4" w14:textId="77777777" w:rsidTr="00524D47">
        <w:trPr>
          <w:jc w:val="center"/>
        </w:trPr>
        <w:tc>
          <w:tcPr>
            <w:tcW w:w="1964" w:type="dxa"/>
          </w:tcPr>
          <w:p w14:paraId="1725705E" w14:textId="77777777" w:rsidR="00D15E3C" w:rsidRPr="00524D47" w:rsidRDefault="00D15E3C" w:rsidP="006D64ED">
            <w:pPr>
              <w:rPr>
                <w:b/>
                <w:szCs w:val="21"/>
              </w:rPr>
            </w:pPr>
            <w:r w:rsidRPr="00524D47">
              <w:rPr>
                <w:b/>
                <w:szCs w:val="21"/>
              </w:rPr>
              <w:t>Variable</w:t>
            </w:r>
          </w:p>
        </w:tc>
        <w:tc>
          <w:tcPr>
            <w:tcW w:w="6286" w:type="dxa"/>
          </w:tcPr>
          <w:p w14:paraId="12549307" w14:textId="77777777" w:rsidR="00D15E3C" w:rsidRPr="00524D47" w:rsidRDefault="00D15E3C" w:rsidP="006D64ED">
            <w:pPr>
              <w:rPr>
                <w:b/>
                <w:szCs w:val="21"/>
              </w:rPr>
            </w:pPr>
            <w:r w:rsidRPr="00524D47">
              <w:rPr>
                <w:b/>
                <w:szCs w:val="21"/>
              </w:rPr>
              <w:t>Vægtning</w:t>
            </w:r>
          </w:p>
        </w:tc>
      </w:tr>
      <w:tr w:rsidR="00D15E3C" w14:paraId="5F382C7C" w14:textId="77777777" w:rsidTr="00524D47">
        <w:trPr>
          <w:jc w:val="center"/>
        </w:trPr>
        <w:tc>
          <w:tcPr>
            <w:tcW w:w="1964" w:type="dxa"/>
          </w:tcPr>
          <w:p w14:paraId="7D91646E" w14:textId="77777777" w:rsidR="00D15E3C" w:rsidRPr="00F046FE" w:rsidRDefault="00D15E3C" w:rsidP="006D64ED">
            <w:pPr>
              <w:rPr>
                <w:szCs w:val="21"/>
              </w:rPr>
            </w:pPr>
            <w:r w:rsidRPr="00F046FE">
              <w:rPr>
                <w:szCs w:val="21"/>
              </w:rPr>
              <w:t>Stamdata/størrelse</w:t>
            </w:r>
          </w:p>
        </w:tc>
        <w:tc>
          <w:tcPr>
            <w:tcW w:w="6286" w:type="dxa"/>
          </w:tcPr>
          <w:p w14:paraId="4DC6D076" w14:textId="77777777" w:rsidR="00D15E3C" w:rsidRPr="00F046FE" w:rsidRDefault="00D15E3C" w:rsidP="006D64ED">
            <w:pPr>
              <w:rPr>
                <w:szCs w:val="21"/>
              </w:rPr>
            </w:pPr>
            <w:r>
              <w:rPr>
                <w:szCs w:val="21"/>
              </w:rPr>
              <w:t>De to variable vægter hver 50 %</w:t>
            </w:r>
          </w:p>
        </w:tc>
      </w:tr>
      <w:tr w:rsidR="00D15E3C" w14:paraId="4574D4AA" w14:textId="77777777" w:rsidTr="00524D47">
        <w:trPr>
          <w:jc w:val="center"/>
        </w:trPr>
        <w:tc>
          <w:tcPr>
            <w:tcW w:w="1964" w:type="dxa"/>
          </w:tcPr>
          <w:p w14:paraId="090F874A" w14:textId="77777777" w:rsidR="00D15E3C" w:rsidRPr="00F046FE" w:rsidRDefault="00D15E3C" w:rsidP="006D64ED">
            <w:pPr>
              <w:rPr>
                <w:szCs w:val="21"/>
              </w:rPr>
            </w:pPr>
            <w:r w:rsidRPr="00F046FE">
              <w:rPr>
                <w:szCs w:val="21"/>
              </w:rPr>
              <w:t>Socioøkonomiske</w:t>
            </w:r>
          </w:p>
        </w:tc>
        <w:tc>
          <w:tcPr>
            <w:tcW w:w="6286" w:type="dxa"/>
          </w:tcPr>
          <w:p w14:paraId="33C5C720" w14:textId="77777777" w:rsidR="00D15E3C" w:rsidRPr="00F046FE" w:rsidRDefault="00D15E3C" w:rsidP="006D64ED">
            <w:pPr>
              <w:rPr>
                <w:szCs w:val="21"/>
              </w:rPr>
            </w:pPr>
            <w:r w:rsidRPr="00F046FE">
              <w:rPr>
                <w:szCs w:val="21"/>
              </w:rPr>
              <w:t>De fire variable vægter hver 25 %</w:t>
            </w:r>
          </w:p>
        </w:tc>
      </w:tr>
      <w:tr w:rsidR="00D15E3C" w14:paraId="0BCFAAB4" w14:textId="77777777" w:rsidTr="00524D47">
        <w:trPr>
          <w:jc w:val="center"/>
        </w:trPr>
        <w:tc>
          <w:tcPr>
            <w:tcW w:w="1964" w:type="dxa"/>
          </w:tcPr>
          <w:p w14:paraId="2E0F66E2" w14:textId="77777777" w:rsidR="00D15E3C" w:rsidRPr="00F046FE" w:rsidRDefault="00D15E3C" w:rsidP="006D64ED">
            <w:pPr>
              <w:rPr>
                <w:szCs w:val="21"/>
              </w:rPr>
            </w:pPr>
            <w:r w:rsidRPr="00F046FE">
              <w:rPr>
                <w:szCs w:val="21"/>
              </w:rPr>
              <w:t xml:space="preserve">Kombineret </w:t>
            </w:r>
          </w:p>
        </w:tc>
        <w:tc>
          <w:tcPr>
            <w:tcW w:w="6286" w:type="dxa"/>
          </w:tcPr>
          <w:p w14:paraId="1FEABFE0" w14:textId="77777777" w:rsidR="00D15E3C" w:rsidRPr="00F046FE" w:rsidRDefault="00D15E3C" w:rsidP="006D64ED">
            <w:pPr>
              <w:rPr>
                <w:szCs w:val="21"/>
              </w:rPr>
            </w:pPr>
            <w:r w:rsidRPr="00F046FE">
              <w:rPr>
                <w:szCs w:val="21"/>
              </w:rPr>
              <w:t>Stamdata/størrelse og socioøkonomiske vægter hver 50 %</w:t>
            </w:r>
          </w:p>
        </w:tc>
      </w:tr>
    </w:tbl>
    <w:p w14:paraId="38D462F4" w14:textId="77777777" w:rsidR="00F046FE" w:rsidRDefault="00F046FE" w:rsidP="006D64ED">
      <w:pPr>
        <w:spacing w:line="240" w:lineRule="auto"/>
        <w:rPr>
          <w:b/>
          <w:szCs w:val="21"/>
        </w:rPr>
      </w:pPr>
    </w:p>
    <w:p w14:paraId="0D34CA4B" w14:textId="77777777" w:rsidR="006D64ED" w:rsidRDefault="006D64ED">
      <w:pPr>
        <w:rPr>
          <w:i/>
          <w:szCs w:val="21"/>
        </w:rPr>
      </w:pPr>
      <w:r>
        <w:rPr>
          <w:i/>
          <w:szCs w:val="21"/>
        </w:rPr>
        <w:br w:type="page"/>
      </w:r>
    </w:p>
    <w:p w14:paraId="46E500E2" w14:textId="5881F8DB" w:rsidR="00F046FE" w:rsidRPr="00F046FE" w:rsidRDefault="00F046FE" w:rsidP="006D64ED">
      <w:pPr>
        <w:spacing w:line="240" w:lineRule="auto"/>
        <w:rPr>
          <w:i/>
          <w:szCs w:val="21"/>
        </w:rPr>
      </w:pPr>
      <w:r w:rsidRPr="00F046FE">
        <w:rPr>
          <w:i/>
          <w:szCs w:val="21"/>
        </w:rPr>
        <w:lastRenderedPageBreak/>
        <w:t xml:space="preserve">Tabel </w:t>
      </w:r>
      <w:r w:rsidR="00954521">
        <w:rPr>
          <w:i/>
          <w:szCs w:val="21"/>
        </w:rPr>
        <w:t>6</w:t>
      </w:r>
      <w:r w:rsidRPr="00F046FE">
        <w:rPr>
          <w:i/>
          <w:szCs w:val="21"/>
        </w:rPr>
        <w:t xml:space="preserve">: Beregning af afstandsmål på </w:t>
      </w:r>
      <w:r>
        <w:rPr>
          <w:i/>
          <w:szCs w:val="21"/>
        </w:rPr>
        <w:t>afdelings</w:t>
      </w:r>
      <w:r w:rsidRPr="00F046FE">
        <w:rPr>
          <w:i/>
          <w:szCs w:val="21"/>
        </w:rPr>
        <w:t>niveau:</w:t>
      </w:r>
    </w:p>
    <w:tbl>
      <w:tblPr>
        <w:tblStyle w:val="Tabel-Gitter"/>
        <w:tblW w:w="0" w:type="auto"/>
        <w:jc w:val="center"/>
        <w:tblLook w:val="04A0" w:firstRow="1" w:lastRow="0" w:firstColumn="1" w:lastColumn="0" w:noHBand="0" w:noVBand="1"/>
      </w:tblPr>
      <w:tblGrid>
        <w:gridCol w:w="1964"/>
        <w:gridCol w:w="6286"/>
      </w:tblGrid>
      <w:tr w:rsidR="00D15E3C" w14:paraId="7B386044" w14:textId="77777777" w:rsidTr="00524D47">
        <w:trPr>
          <w:jc w:val="center"/>
        </w:trPr>
        <w:tc>
          <w:tcPr>
            <w:tcW w:w="1964" w:type="dxa"/>
          </w:tcPr>
          <w:p w14:paraId="5A5FBA90" w14:textId="77777777" w:rsidR="00D15E3C" w:rsidRPr="00524D47" w:rsidRDefault="00D15E3C" w:rsidP="006D64ED">
            <w:pPr>
              <w:rPr>
                <w:b/>
                <w:szCs w:val="21"/>
              </w:rPr>
            </w:pPr>
            <w:r w:rsidRPr="00524D47">
              <w:rPr>
                <w:b/>
                <w:szCs w:val="21"/>
              </w:rPr>
              <w:t>Variable</w:t>
            </w:r>
          </w:p>
        </w:tc>
        <w:tc>
          <w:tcPr>
            <w:tcW w:w="6286" w:type="dxa"/>
          </w:tcPr>
          <w:p w14:paraId="258505B3" w14:textId="77777777" w:rsidR="00D15E3C" w:rsidRPr="00524D47" w:rsidRDefault="00D15E3C" w:rsidP="006D64ED">
            <w:pPr>
              <w:rPr>
                <w:b/>
                <w:szCs w:val="21"/>
              </w:rPr>
            </w:pPr>
            <w:r w:rsidRPr="00524D47">
              <w:rPr>
                <w:b/>
                <w:szCs w:val="21"/>
              </w:rPr>
              <w:t>Vægtning</w:t>
            </w:r>
          </w:p>
        </w:tc>
      </w:tr>
      <w:tr w:rsidR="00D15E3C" w14:paraId="6FDA40B6" w14:textId="77777777" w:rsidTr="00524D47">
        <w:trPr>
          <w:trHeight w:val="148"/>
          <w:jc w:val="center"/>
        </w:trPr>
        <w:tc>
          <w:tcPr>
            <w:tcW w:w="1964" w:type="dxa"/>
          </w:tcPr>
          <w:p w14:paraId="3CD21268" w14:textId="77777777" w:rsidR="00D15E3C" w:rsidRPr="00F046FE" w:rsidRDefault="00D15E3C" w:rsidP="006D64ED">
            <w:pPr>
              <w:rPr>
                <w:szCs w:val="21"/>
              </w:rPr>
            </w:pPr>
            <w:r w:rsidRPr="00F046FE">
              <w:rPr>
                <w:szCs w:val="21"/>
              </w:rPr>
              <w:t>Stamdata/størrelse</w:t>
            </w:r>
          </w:p>
        </w:tc>
        <w:tc>
          <w:tcPr>
            <w:tcW w:w="6286" w:type="dxa"/>
          </w:tcPr>
          <w:p w14:paraId="6218E371" w14:textId="77777777" w:rsidR="00D15E3C" w:rsidRPr="00F046FE" w:rsidRDefault="00D15E3C" w:rsidP="006D64ED">
            <w:pPr>
              <w:rPr>
                <w:szCs w:val="21"/>
              </w:rPr>
            </w:pPr>
            <w:r>
              <w:rPr>
                <w:szCs w:val="21"/>
              </w:rPr>
              <w:t>De to variable vægter hver 50 %</w:t>
            </w:r>
          </w:p>
        </w:tc>
      </w:tr>
      <w:tr w:rsidR="00D15E3C" w14:paraId="0490ED29" w14:textId="77777777" w:rsidTr="00524D47">
        <w:trPr>
          <w:jc w:val="center"/>
        </w:trPr>
        <w:tc>
          <w:tcPr>
            <w:tcW w:w="1964" w:type="dxa"/>
          </w:tcPr>
          <w:p w14:paraId="22F17E14" w14:textId="77777777" w:rsidR="00D15E3C" w:rsidRPr="00F046FE" w:rsidRDefault="00D15E3C" w:rsidP="006D64ED">
            <w:pPr>
              <w:rPr>
                <w:szCs w:val="21"/>
              </w:rPr>
            </w:pPr>
            <w:r w:rsidRPr="00F046FE">
              <w:rPr>
                <w:szCs w:val="21"/>
              </w:rPr>
              <w:t>Socioøkonomiske</w:t>
            </w:r>
          </w:p>
        </w:tc>
        <w:tc>
          <w:tcPr>
            <w:tcW w:w="6286" w:type="dxa"/>
          </w:tcPr>
          <w:p w14:paraId="257E97C3" w14:textId="77777777" w:rsidR="00D15E3C" w:rsidRPr="00F046FE" w:rsidRDefault="00D15E3C" w:rsidP="006D64ED">
            <w:pPr>
              <w:rPr>
                <w:szCs w:val="21"/>
              </w:rPr>
            </w:pPr>
            <w:r w:rsidRPr="00F046FE">
              <w:rPr>
                <w:szCs w:val="21"/>
              </w:rPr>
              <w:t>De fire variable vægter hver 25 %</w:t>
            </w:r>
          </w:p>
        </w:tc>
      </w:tr>
      <w:tr w:rsidR="00D15E3C" w14:paraId="1E059E95" w14:textId="77777777" w:rsidTr="00524D47">
        <w:trPr>
          <w:jc w:val="center"/>
        </w:trPr>
        <w:tc>
          <w:tcPr>
            <w:tcW w:w="1964" w:type="dxa"/>
          </w:tcPr>
          <w:p w14:paraId="46E6DECA" w14:textId="77777777" w:rsidR="00D15E3C" w:rsidRPr="00F046FE" w:rsidRDefault="00D15E3C" w:rsidP="006D64ED">
            <w:pPr>
              <w:rPr>
                <w:szCs w:val="21"/>
              </w:rPr>
            </w:pPr>
            <w:r w:rsidRPr="00F046FE">
              <w:rPr>
                <w:szCs w:val="21"/>
              </w:rPr>
              <w:t xml:space="preserve">Kombineret </w:t>
            </w:r>
          </w:p>
        </w:tc>
        <w:tc>
          <w:tcPr>
            <w:tcW w:w="6286" w:type="dxa"/>
          </w:tcPr>
          <w:p w14:paraId="21FDBB42" w14:textId="77777777" w:rsidR="00D15E3C" w:rsidRPr="00F046FE" w:rsidRDefault="00D15E3C" w:rsidP="006D64ED">
            <w:pPr>
              <w:rPr>
                <w:szCs w:val="21"/>
              </w:rPr>
            </w:pPr>
            <w:r w:rsidRPr="00F046FE">
              <w:rPr>
                <w:szCs w:val="21"/>
              </w:rPr>
              <w:t>Stamdata/størrelse og socioøkonomiske vægter hver 50 %</w:t>
            </w:r>
          </w:p>
        </w:tc>
      </w:tr>
    </w:tbl>
    <w:p w14:paraId="58A1782B" w14:textId="77777777" w:rsidR="00F046FE" w:rsidRDefault="00F046FE" w:rsidP="006D64ED">
      <w:pPr>
        <w:spacing w:line="240" w:lineRule="auto"/>
        <w:rPr>
          <w:b/>
          <w:szCs w:val="21"/>
        </w:rPr>
      </w:pPr>
    </w:p>
    <w:p w14:paraId="0B9EF412" w14:textId="77777777" w:rsidR="00391CA8" w:rsidRDefault="00391CA8">
      <w:pPr>
        <w:rPr>
          <w:b/>
          <w:szCs w:val="21"/>
        </w:rPr>
      </w:pPr>
      <w:r>
        <w:rPr>
          <w:b/>
          <w:szCs w:val="21"/>
        </w:rPr>
        <w:br w:type="page"/>
      </w:r>
    </w:p>
    <w:p w14:paraId="24EC5D29" w14:textId="2249FDEB" w:rsidR="005872CF" w:rsidRPr="005872CF" w:rsidRDefault="005872CF" w:rsidP="006D64ED">
      <w:pPr>
        <w:rPr>
          <w:rFonts w:cs="Times New Roman"/>
          <w:b/>
          <w:szCs w:val="21"/>
        </w:rPr>
      </w:pPr>
      <w:r>
        <w:rPr>
          <w:b/>
          <w:szCs w:val="21"/>
        </w:rPr>
        <w:lastRenderedPageBreak/>
        <w:t>Bilag</w:t>
      </w:r>
      <w:r w:rsidR="00D15E3C">
        <w:rPr>
          <w:b/>
          <w:szCs w:val="21"/>
        </w:rPr>
        <w:t xml:space="preserve"> 1</w:t>
      </w:r>
      <w:r>
        <w:rPr>
          <w:b/>
          <w:szCs w:val="21"/>
        </w:rPr>
        <w:t>:</w:t>
      </w:r>
      <w:r w:rsidRPr="005872CF">
        <w:rPr>
          <w:rFonts w:cs="Times New Roman"/>
          <w:b/>
          <w:szCs w:val="21"/>
        </w:rPr>
        <w:t xml:space="preserve"> </w:t>
      </w:r>
      <w:r>
        <w:rPr>
          <w:rFonts w:cs="Times New Roman"/>
          <w:b/>
          <w:szCs w:val="21"/>
        </w:rPr>
        <w:t>Mere om a</w:t>
      </w:r>
      <w:r w:rsidRPr="005872CF">
        <w:rPr>
          <w:rFonts w:cs="Times New Roman"/>
          <w:b/>
          <w:szCs w:val="21"/>
        </w:rPr>
        <w:t>fstandsmål i tvillingeværktøjet</w:t>
      </w:r>
    </w:p>
    <w:p w14:paraId="1ABEA438" w14:textId="77777777" w:rsidR="005872CF" w:rsidRPr="005872CF" w:rsidRDefault="00D15E3C" w:rsidP="006D64ED">
      <w:pPr>
        <w:spacing w:after="0" w:line="240" w:lineRule="auto"/>
        <w:rPr>
          <w:rFonts w:cs="Times New Roman"/>
          <w:szCs w:val="21"/>
        </w:rPr>
      </w:pPr>
      <w:r>
        <w:rPr>
          <w:rFonts w:cs="Times New Roman"/>
          <w:szCs w:val="21"/>
        </w:rPr>
        <w:t>Afstandsberegningen tager udgangspunkt i følgende afstandsformel (Pythagoras), hvor data ikke er normeret. Nedenstående eksempel er for beregningen af afstanden på de socioøkonomiske variable. Tilsvarende formler anvendes for stamdata/størrelse:</w:t>
      </w:r>
    </w:p>
    <w:p w14:paraId="1EAEC646" w14:textId="77777777" w:rsidR="005872CF" w:rsidRPr="005872CF" w:rsidRDefault="005872CF" w:rsidP="006D64ED">
      <w:pPr>
        <w:spacing w:after="0" w:line="240" w:lineRule="auto"/>
        <w:rPr>
          <w:rFonts w:cs="Times New Roman"/>
          <w:szCs w:val="21"/>
        </w:rPr>
      </w:pPr>
      <w:r w:rsidRPr="005872CF">
        <w:rPr>
          <w:rFonts w:cs="Times New Roman"/>
          <w:szCs w:val="21"/>
        </w:rPr>
        <w:t> </w:t>
      </w:r>
    </w:p>
    <w:p w14:paraId="31F91B4F" w14:textId="77777777" w:rsidR="005872CF" w:rsidRPr="005872CF" w:rsidRDefault="005872CF" w:rsidP="006D64ED">
      <w:pPr>
        <w:spacing w:after="0" w:line="240" w:lineRule="auto"/>
        <w:rPr>
          <w:rFonts w:cs="Times New Roman"/>
          <w:szCs w:val="21"/>
        </w:rPr>
      </w:pPr>
    </w:p>
    <w:p w14:paraId="3C998229" w14:textId="77777777" w:rsidR="005872CF" w:rsidRPr="005872CF" w:rsidRDefault="005872CF" w:rsidP="006D64ED">
      <w:pPr>
        <w:spacing w:after="0" w:line="240" w:lineRule="auto"/>
        <w:jc w:val="center"/>
        <w:rPr>
          <w:rFonts w:cs="Times New Roman"/>
          <w:szCs w:val="21"/>
        </w:rPr>
      </w:pPr>
      <w:r w:rsidRPr="005872CF">
        <w:rPr>
          <w:rFonts w:ascii="Cambria Math" w:hAnsi="Cambria Math" w:cs="Times New Roman"/>
          <w:szCs w:val="21"/>
        </w:rPr>
        <w:t>Afstand =</w:t>
      </w:r>
      <w:r w:rsidRPr="005872CF">
        <w:rPr>
          <w:rFonts w:ascii="Cambria Math" w:eastAsiaTheme="minorEastAsia" w:hAnsi="Cambria Math" w:cs="Times New Roman"/>
          <w:szCs w:val="21"/>
        </w:rPr>
        <w:t xml:space="preserve"> </w:t>
      </w:r>
      <m:oMath>
        <m:r>
          <w:rPr>
            <w:rFonts w:ascii="Cambria Math" w:hAnsi="Cambria Math" w:cs="Times New Roman"/>
            <w:szCs w:val="21"/>
          </w:rPr>
          <m:t xml:space="preserve"> </m:t>
        </m:r>
        <m:rad>
          <m:radPr>
            <m:degHide m:val="1"/>
            <m:ctrlPr>
              <w:rPr>
                <w:rFonts w:ascii="Cambria Math" w:hAnsi="Cambria Math" w:cs="Times New Roman"/>
                <w:i/>
                <w:szCs w:val="21"/>
                <w:lang w:val="en-US"/>
              </w:rPr>
            </m:ctrlPr>
          </m:radPr>
          <m:deg/>
          <m:e>
            <m:r>
              <m:rPr>
                <m:sty m:val="p"/>
              </m:rPr>
              <w:rPr>
                <w:rFonts w:ascii="Cambria Math" w:hAnsi="Cambria Math" w:cs="Times New Roman"/>
                <w:szCs w:val="21"/>
              </w:rPr>
              <m:t>w1*</m:t>
            </m:r>
            <m:sSup>
              <m:sSupPr>
                <m:ctrlPr>
                  <w:rPr>
                    <w:rFonts w:ascii="Cambria Math" w:hAnsi="Cambria Math" w:cs="Times New Roman"/>
                    <w:szCs w:val="21"/>
                  </w:rPr>
                </m:ctrlPr>
              </m:sSupPr>
              <m:e>
                <m:r>
                  <w:rPr>
                    <w:rFonts w:ascii="Cambria Math" w:hAnsi="Cambria Math" w:cs="Times New Roman"/>
                    <w:szCs w:val="21"/>
                  </w:rPr>
                  <m:t>((a1-a)</m:t>
                </m:r>
              </m:e>
              <m:sup>
                <m:r>
                  <w:rPr>
                    <w:rFonts w:ascii="Cambria Math" w:hAnsi="Cambria Math" w:cs="Times New Roman"/>
                    <w:szCs w:val="21"/>
                  </w:rPr>
                  <m:t>2</m:t>
                </m:r>
              </m:sup>
            </m:sSup>
            <m:r>
              <m:rPr>
                <m:sty m:val="p"/>
              </m:rPr>
              <w:rPr>
                <w:rFonts w:ascii="Cambria Math" w:hAnsi="Cambria Math" w:cs="Times New Roman"/>
                <w:szCs w:val="21"/>
              </w:rPr>
              <m:t>)+w2*</m:t>
            </m:r>
            <m:sSup>
              <m:sSupPr>
                <m:ctrlPr>
                  <w:rPr>
                    <w:rFonts w:ascii="Cambria Math" w:hAnsi="Cambria Math" w:cs="Times New Roman"/>
                    <w:szCs w:val="21"/>
                  </w:rPr>
                </m:ctrlPr>
              </m:sSupPr>
              <m:e>
                <m:r>
                  <w:rPr>
                    <w:rFonts w:ascii="Cambria Math" w:hAnsi="Cambria Math" w:cs="Times New Roman"/>
                    <w:szCs w:val="21"/>
                  </w:rPr>
                  <m:t>((b1-b)</m:t>
                </m:r>
              </m:e>
              <m:sup>
                <m:r>
                  <w:rPr>
                    <w:rFonts w:ascii="Cambria Math" w:hAnsi="Cambria Math" w:cs="Times New Roman"/>
                    <w:szCs w:val="21"/>
                  </w:rPr>
                  <m:t>2</m:t>
                </m:r>
              </m:sup>
            </m:sSup>
            <m:r>
              <m:rPr>
                <m:sty m:val="p"/>
              </m:rPr>
              <w:rPr>
                <w:rFonts w:ascii="Cambria Math" w:hAnsi="Cambria Math" w:cs="Times New Roman"/>
                <w:szCs w:val="21"/>
              </w:rPr>
              <m:t>) + w3*</m:t>
            </m:r>
            <m:sSup>
              <m:sSupPr>
                <m:ctrlPr>
                  <w:rPr>
                    <w:rFonts w:ascii="Cambria Math" w:hAnsi="Cambria Math" w:cs="Times New Roman"/>
                    <w:szCs w:val="21"/>
                  </w:rPr>
                </m:ctrlPr>
              </m:sSupPr>
              <m:e>
                <m:r>
                  <w:rPr>
                    <w:rFonts w:ascii="Cambria Math" w:hAnsi="Cambria Math" w:cs="Times New Roman"/>
                    <w:szCs w:val="21"/>
                  </w:rPr>
                  <m:t>((c1-c)</m:t>
                </m:r>
              </m:e>
              <m:sup>
                <m:r>
                  <w:rPr>
                    <w:rFonts w:ascii="Cambria Math" w:hAnsi="Cambria Math" w:cs="Times New Roman"/>
                    <w:szCs w:val="21"/>
                  </w:rPr>
                  <m:t>2</m:t>
                </m:r>
              </m:sup>
            </m:sSup>
            <m:r>
              <m:rPr>
                <m:sty m:val="p"/>
              </m:rPr>
              <w:rPr>
                <w:rFonts w:ascii="Cambria Math" w:hAnsi="Cambria Math" w:cs="Times New Roman"/>
                <w:szCs w:val="21"/>
              </w:rPr>
              <m:t>) + w4*</m:t>
            </m:r>
            <m:sSup>
              <m:sSupPr>
                <m:ctrlPr>
                  <w:rPr>
                    <w:rFonts w:ascii="Cambria Math" w:hAnsi="Cambria Math" w:cs="Times New Roman"/>
                    <w:szCs w:val="21"/>
                  </w:rPr>
                </m:ctrlPr>
              </m:sSupPr>
              <m:e>
                <m:r>
                  <w:rPr>
                    <w:rFonts w:ascii="Cambria Math" w:hAnsi="Cambria Math" w:cs="Times New Roman"/>
                    <w:szCs w:val="21"/>
                  </w:rPr>
                  <m:t>((d1-d)</m:t>
                </m:r>
              </m:e>
              <m:sup>
                <m:r>
                  <w:rPr>
                    <w:rFonts w:ascii="Cambria Math" w:hAnsi="Cambria Math" w:cs="Times New Roman"/>
                    <w:szCs w:val="21"/>
                  </w:rPr>
                  <m:t>2</m:t>
                </m:r>
              </m:sup>
            </m:sSup>
            <m:r>
              <m:rPr>
                <m:sty m:val="p"/>
              </m:rPr>
              <w:rPr>
                <w:rFonts w:ascii="Cambria Math" w:hAnsi="Cambria Math" w:cs="Times New Roman"/>
                <w:szCs w:val="21"/>
              </w:rPr>
              <m:t>))</m:t>
            </m:r>
          </m:e>
        </m:rad>
      </m:oMath>
    </w:p>
    <w:p w14:paraId="68233E47" w14:textId="77777777" w:rsidR="005872CF" w:rsidRPr="005872CF" w:rsidRDefault="005872CF" w:rsidP="006D64ED">
      <w:pPr>
        <w:tabs>
          <w:tab w:val="left" w:pos="4350"/>
        </w:tabs>
        <w:spacing w:after="0" w:line="240" w:lineRule="auto"/>
        <w:rPr>
          <w:rFonts w:cs="Times New Roman"/>
          <w:szCs w:val="21"/>
        </w:rPr>
      </w:pPr>
      <w:r w:rsidRPr="005872CF">
        <w:rPr>
          <w:rFonts w:cs="Times New Roman"/>
          <w:szCs w:val="21"/>
        </w:rPr>
        <w:tab/>
      </w:r>
    </w:p>
    <w:p w14:paraId="2B190C66" w14:textId="77777777" w:rsidR="005872CF" w:rsidRPr="005872CF" w:rsidRDefault="005872CF" w:rsidP="006D64ED">
      <w:pPr>
        <w:spacing w:after="0" w:line="240" w:lineRule="auto"/>
        <w:rPr>
          <w:rFonts w:cs="Times New Roman"/>
          <w:szCs w:val="21"/>
        </w:rPr>
      </w:pPr>
    </w:p>
    <w:p w14:paraId="7AFD8064" w14:textId="77777777" w:rsidR="005872CF" w:rsidRPr="005872CF" w:rsidRDefault="00D15E3C" w:rsidP="006D64ED">
      <w:pPr>
        <w:spacing w:after="0" w:line="240" w:lineRule="auto"/>
        <w:rPr>
          <w:rFonts w:cs="Times New Roman"/>
          <w:szCs w:val="21"/>
        </w:rPr>
      </w:pPr>
      <w:r>
        <w:rPr>
          <w:rFonts w:cs="Times New Roman"/>
          <w:szCs w:val="21"/>
        </w:rPr>
        <w:t xml:space="preserve">a, b, c og d er de 4 socioøkonomiske variable. </w:t>
      </w:r>
      <w:r w:rsidR="005872CF" w:rsidRPr="005872CF">
        <w:rPr>
          <w:rFonts w:cs="Times New Roman"/>
          <w:szCs w:val="21"/>
        </w:rPr>
        <w:t xml:space="preserve"> w1, w2, w3 og w4 angi</w:t>
      </w:r>
      <w:r>
        <w:rPr>
          <w:rFonts w:cs="Times New Roman"/>
          <w:szCs w:val="21"/>
        </w:rPr>
        <w:t>ver vægtningen af de 4 socioøkonomiske variable</w:t>
      </w:r>
      <w:r w:rsidR="00524D47">
        <w:rPr>
          <w:rFonts w:cs="Times New Roman"/>
          <w:szCs w:val="21"/>
        </w:rPr>
        <w:t>. Da alle fire variable vægtes lige,</w:t>
      </w:r>
      <w:r w:rsidR="005872CF" w:rsidRPr="005872CF">
        <w:rPr>
          <w:rFonts w:cs="Times New Roman"/>
          <w:szCs w:val="21"/>
        </w:rPr>
        <w:t xml:space="preserve"> er vægtene w1=w2=w3=w4=1. </w:t>
      </w:r>
      <w:r w:rsidR="00524D47">
        <w:rPr>
          <w:rFonts w:cs="Times New Roman"/>
          <w:szCs w:val="21"/>
        </w:rPr>
        <w:t xml:space="preserve">Dermed </w:t>
      </w:r>
      <w:r w:rsidR="005872CF" w:rsidRPr="005872CF">
        <w:rPr>
          <w:rFonts w:cs="Times New Roman"/>
          <w:szCs w:val="21"/>
        </w:rPr>
        <w:t xml:space="preserve">fås følgende afstandsformel: </w:t>
      </w:r>
    </w:p>
    <w:p w14:paraId="6A336646" w14:textId="77777777" w:rsidR="005872CF" w:rsidRPr="005872CF" w:rsidRDefault="005872CF" w:rsidP="006D64ED">
      <w:pPr>
        <w:spacing w:after="0" w:line="240" w:lineRule="auto"/>
        <w:rPr>
          <w:rFonts w:cs="Times New Roman"/>
          <w:szCs w:val="21"/>
        </w:rPr>
      </w:pPr>
    </w:p>
    <w:p w14:paraId="50E785A3" w14:textId="77777777" w:rsidR="005872CF" w:rsidRPr="005872CF" w:rsidRDefault="005872CF" w:rsidP="006D64ED">
      <w:pPr>
        <w:spacing w:after="0" w:line="240" w:lineRule="auto"/>
        <w:jc w:val="center"/>
        <w:rPr>
          <w:rFonts w:cs="Times New Roman"/>
          <w:szCs w:val="21"/>
        </w:rPr>
      </w:pPr>
    </w:p>
    <w:p w14:paraId="5CFEA1DE" w14:textId="77777777" w:rsidR="005872CF" w:rsidRPr="005872CF" w:rsidRDefault="005872CF" w:rsidP="006D64ED">
      <w:pPr>
        <w:spacing w:after="0" w:line="240" w:lineRule="auto"/>
        <w:jc w:val="center"/>
        <w:rPr>
          <w:rFonts w:cs="Times New Roman"/>
          <w:szCs w:val="21"/>
        </w:rPr>
      </w:pPr>
      <w:r w:rsidRPr="005872CF">
        <w:rPr>
          <w:rFonts w:ascii="Cambria Math" w:hAnsi="Cambria Math" w:cs="Times New Roman"/>
          <w:szCs w:val="21"/>
        </w:rPr>
        <w:t>Afstand =</w:t>
      </w:r>
      <w:r w:rsidRPr="005872CF">
        <w:rPr>
          <w:rFonts w:ascii="Cambria Math" w:eastAsiaTheme="minorEastAsia" w:hAnsi="Cambria Math" w:cs="Times New Roman"/>
          <w:szCs w:val="21"/>
        </w:rPr>
        <w:t xml:space="preserve"> </w:t>
      </w:r>
      <m:oMath>
        <m:r>
          <w:rPr>
            <w:rFonts w:ascii="Cambria Math" w:hAnsi="Cambria Math" w:cs="Times New Roman"/>
            <w:szCs w:val="21"/>
          </w:rPr>
          <m:t xml:space="preserve"> </m:t>
        </m:r>
        <m:rad>
          <m:radPr>
            <m:degHide m:val="1"/>
            <m:ctrlPr>
              <w:rPr>
                <w:rFonts w:ascii="Cambria Math" w:hAnsi="Cambria Math" w:cs="Times New Roman"/>
                <w:i/>
                <w:szCs w:val="21"/>
                <w:lang w:val="en-US"/>
              </w:rPr>
            </m:ctrlPr>
          </m:radPr>
          <m:deg/>
          <m:e>
            <m:sSup>
              <m:sSupPr>
                <m:ctrlPr>
                  <w:rPr>
                    <w:rFonts w:ascii="Cambria Math" w:hAnsi="Cambria Math" w:cs="Times New Roman"/>
                    <w:szCs w:val="21"/>
                  </w:rPr>
                </m:ctrlPr>
              </m:sSupPr>
              <m:e>
                <m:r>
                  <w:rPr>
                    <w:rFonts w:ascii="Cambria Math" w:hAnsi="Cambria Math" w:cs="Times New Roman"/>
                    <w:szCs w:val="21"/>
                  </w:rPr>
                  <m:t>((a1-a)</m:t>
                </m:r>
              </m:e>
              <m:sup>
                <m:r>
                  <w:rPr>
                    <w:rFonts w:ascii="Cambria Math" w:hAnsi="Cambria Math" w:cs="Times New Roman"/>
                    <w:szCs w:val="21"/>
                  </w:rPr>
                  <m:t>2</m:t>
                </m:r>
              </m:sup>
            </m:sSup>
            <m:r>
              <m:rPr>
                <m:sty m:val="p"/>
              </m:rPr>
              <w:rPr>
                <w:rFonts w:ascii="Cambria Math" w:hAnsi="Cambria Math" w:cs="Times New Roman"/>
                <w:szCs w:val="21"/>
              </w:rPr>
              <m:t>)+</m:t>
            </m:r>
            <m:sSup>
              <m:sSupPr>
                <m:ctrlPr>
                  <w:rPr>
                    <w:rFonts w:ascii="Cambria Math" w:hAnsi="Cambria Math" w:cs="Times New Roman"/>
                    <w:szCs w:val="21"/>
                  </w:rPr>
                </m:ctrlPr>
              </m:sSupPr>
              <m:e>
                <m:r>
                  <w:rPr>
                    <w:rFonts w:ascii="Cambria Math" w:hAnsi="Cambria Math" w:cs="Times New Roman"/>
                    <w:szCs w:val="21"/>
                  </w:rPr>
                  <m:t>((b1-b)</m:t>
                </m:r>
              </m:e>
              <m:sup>
                <m:r>
                  <w:rPr>
                    <w:rFonts w:ascii="Cambria Math" w:hAnsi="Cambria Math" w:cs="Times New Roman"/>
                    <w:szCs w:val="21"/>
                  </w:rPr>
                  <m:t>2</m:t>
                </m:r>
              </m:sup>
            </m:sSup>
            <m:r>
              <m:rPr>
                <m:sty m:val="p"/>
              </m:rPr>
              <w:rPr>
                <w:rFonts w:ascii="Cambria Math" w:hAnsi="Cambria Math" w:cs="Times New Roman"/>
                <w:szCs w:val="21"/>
              </w:rPr>
              <m:t xml:space="preserve">) + </m:t>
            </m:r>
            <m:sSup>
              <m:sSupPr>
                <m:ctrlPr>
                  <w:rPr>
                    <w:rFonts w:ascii="Cambria Math" w:hAnsi="Cambria Math" w:cs="Times New Roman"/>
                    <w:szCs w:val="21"/>
                  </w:rPr>
                </m:ctrlPr>
              </m:sSupPr>
              <m:e>
                <m:r>
                  <w:rPr>
                    <w:rFonts w:ascii="Cambria Math" w:hAnsi="Cambria Math" w:cs="Times New Roman"/>
                    <w:szCs w:val="21"/>
                  </w:rPr>
                  <m:t>((c1-c)</m:t>
                </m:r>
              </m:e>
              <m:sup>
                <m:r>
                  <w:rPr>
                    <w:rFonts w:ascii="Cambria Math" w:hAnsi="Cambria Math" w:cs="Times New Roman"/>
                    <w:szCs w:val="21"/>
                  </w:rPr>
                  <m:t>2</m:t>
                </m:r>
              </m:sup>
            </m:sSup>
            <m:r>
              <m:rPr>
                <m:sty m:val="p"/>
              </m:rPr>
              <w:rPr>
                <w:rFonts w:ascii="Cambria Math" w:hAnsi="Cambria Math" w:cs="Times New Roman"/>
                <w:szCs w:val="21"/>
              </w:rPr>
              <m:t xml:space="preserve">) + </m:t>
            </m:r>
            <m:sSup>
              <m:sSupPr>
                <m:ctrlPr>
                  <w:rPr>
                    <w:rFonts w:ascii="Cambria Math" w:hAnsi="Cambria Math" w:cs="Times New Roman"/>
                    <w:szCs w:val="21"/>
                  </w:rPr>
                </m:ctrlPr>
              </m:sSupPr>
              <m:e>
                <m:r>
                  <w:rPr>
                    <w:rFonts w:ascii="Cambria Math" w:hAnsi="Cambria Math" w:cs="Times New Roman"/>
                    <w:szCs w:val="21"/>
                  </w:rPr>
                  <m:t>((d1-d)</m:t>
                </m:r>
              </m:e>
              <m:sup>
                <m:r>
                  <w:rPr>
                    <w:rFonts w:ascii="Cambria Math" w:hAnsi="Cambria Math" w:cs="Times New Roman"/>
                    <w:szCs w:val="21"/>
                  </w:rPr>
                  <m:t>2</m:t>
                </m:r>
              </m:sup>
            </m:sSup>
            <m:r>
              <m:rPr>
                <m:sty m:val="p"/>
              </m:rPr>
              <w:rPr>
                <w:rFonts w:ascii="Cambria Math" w:hAnsi="Cambria Math" w:cs="Times New Roman"/>
                <w:szCs w:val="21"/>
              </w:rPr>
              <m:t>))</m:t>
            </m:r>
          </m:e>
        </m:rad>
      </m:oMath>
    </w:p>
    <w:p w14:paraId="2F94B1D1" w14:textId="77777777" w:rsidR="005872CF" w:rsidRPr="005872CF" w:rsidRDefault="005872CF" w:rsidP="006D64ED">
      <w:pPr>
        <w:spacing w:after="0" w:line="240" w:lineRule="auto"/>
        <w:rPr>
          <w:rFonts w:cs="Times New Roman"/>
          <w:szCs w:val="21"/>
        </w:rPr>
      </w:pPr>
    </w:p>
    <w:p w14:paraId="7676758A" w14:textId="77777777" w:rsidR="005872CF" w:rsidRPr="005872CF" w:rsidRDefault="005872CF" w:rsidP="006D64ED">
      <w:pPr>
        <w:spacing w:after="0" w:line="240" w:lineRule="auto"/>
        <w:rPr>
          <w:rFonts w:cs="Times New Roman"/>
          <w:szCs w:val="21"/>
        </w:rPr>
      </w:pPr>
      <w:r w:rsidRPr="005872CF">
        <w:rPr>
          <w:rFonts w:cs="Times New Roman"/>
          <w:szCs w:val="21"/>
        </w:rPr>
        <w:t>Hvor</w:t>
      </w:r>
      <w:r w:rsidRPr="005872CF">
        <w:rPr>
          <w:rFonts w:cs="Times New Roman"/>
          <w:szCs w:val="21"/>
        </w:rPr>
        <w:tab/>
        <w:t>a1</w:t>
      </w:r>
      <w:r w:rsidRPr="005872CF">
        <w:rPr>
          <w:rFonts w:cs="Times New Roman"/>
          <w:szCs w:val="21"/>
        </w:rPr>
        <w:tab/>
        <w:t>andel IE i afdeling 1.</w:t>
      </w:r>
    </w:p>
    <w:p w14:paraId="39882E70" w14:textId="77777777" w:rsidR="005872CF" w:rsidRPr="005872CF" w:rsidRDefault="005872CF" w:rsidP="006D64ED">
      <w:pPr>
        <w:spacing w:after="0" w:line="240" w:lineRule="auto"/>
        <w:rPr>
          <w:rFonts w:cs="Times New Roman"/>
          <w:szCs w:val="21"/>
        </w:rPr>
      </w:pPr>
      <w:r w:rsidRPr="005872CF">
        <w:rPr>
          <w:rFonts w:cs="Times New Roman"/>
          <w:szCs w:val="21"/>
        </w:rPr>
        <w:tab/>
        <w:t>a</w:t>
      </w:r>
      <w:r w:rsidRPr="005872CF">
        <w:rPr>
          <w:rFonts w:cs="Times New Roman"/>
          <w:szCs w:val="21"/>
        </w:rPr>
        <w:tab/>
        <w:t>andel IE i afdeling n.</w:t>
      </w:r>
    </w:p>
    <w:p w14:paraId="386A498B" w14:textId="77777777" w:rsidR="005872CF" w:rsidRPr="005872CF" w:rsidRDefault="005872CF" w:rsidP="006D64ED">
      <w:pPr>
        <w:spacing w:after="0" w:line="240" w:lineRule="auto"/>
        <w:rPr>
          <w:rFonts w:cs="Times New Roman"/>
          <w:szCs w:val="21"/>
        </w:rPr>
      </w:pPr>
      <w:r w:rsidRPr="005872CF">
        <w:rPr>
          <w:rFonts w:cs="Times New Roman"/>
          <w:szCs w:val="21"/>
        </w:rPr>
        <w:tab/>
        <w:t>b1</w:t>
      </w:r>
      <w:r w:rsidRPr="005872CF">
        <w:rPr>
          <w:rFonts w:cs="Times New Roman"/>
          <w:szCs w:val="21"/>
        </w:rPr>
        <w:tab/>
        <w:t>andel indkomst i forhold til landsindkomst for afdeling 1.</w:t>
      </w:r>
    </w:p>
    <w:p w14:paraId="60941E94" w14:textId="77777777" w:rsidR="005872CF" w:rsidRPr="005872CF" w:rsidRDefault="005872CF" w:rsidP="006D64ED">
      <w:pPr>
        <w:spacing w:after="0" w:line="240" w:lineRule="auto"/>
        <w:rPr>
          <w:rFonts w:cs="Times New Roman"/>
          <w:szCs w:val="21"/>
        </w:rPr>
      </w:pPr>
      <w:r w:rsidRPr="005872CF">
        <w:rPr>
          <w:rFonts w:cs="Times New Roman"/>
          <w:szCs w:val="21"/>
        </w:rPr>
        <w:tab/>
        <w:t>b</w:t>
      </w:r>
      <w:r w:rsidRPr="005872CF">
        <w:rPr>
          <w:rFonts w:cs="Times New Roman"/>
          <w:szCs w:val="21"/>
        </w:rPr>
        <w:tab/>
        <w:t>andel indkomst i forhold til landsindkomst for afdeling n.</w:t>
      </w:r>
    </w:p>
    <w:p w14:paraId="2D65FFBD" w14:textId="77777777" w:rsidR="005872CF" w:rsidRPr="005872CF" w:rsidRDefault="005872CF" w:rsidP="006D64ED">
      <w:pPr>
        <w:spacing w:after="0" w:line="240" w:lineRule="auto"/>
        <w:rPr>
          <w:rFonts w:cs="Times New Roman"/>
          <w:szCs w:val="21"/>
        </w:rPr>
      </w:pPr>
      <w:r w:rsidRPr="005872CF">
        <w:rPr>
          <w:rFonts w:cs="Times New Roman"/>
          <w:szCs w:val="21"/>
        </w:rPr>
        <w:tab/>
        <w:t>c1</w:t>
      </w:r>
      <w:r w:rsidRPr="005872CF">
        <w:rPr>
          <w:rFonts w:cs="Times New Roman"/>
          <w:szCs w:val="21"/>
        </w:rPr>
        <w:tab/>
        <w:t>andel personer uden uddannelse/uoplyst uddannelse i afdeling 1.</w:t>
      </w:r>
    </w:p>
    <w:p w14:paraId="3D10C5AF" w14:textId="77777777" w:rsidR="005872CF" w:rsidRPr="005872CF" w:rsidRDefault="005872CF" w:rsidP="006D64ED">
      <w:pPr>
        <w:spacing w:after="0" w:line="240" w:lineRule="auto"/>
        <w:rPr>
          <w:rFonts w:cs="Times New Roman"/>
          <w:szCs w:val="21"/>
        </w:rPr>
      </w:pPr>
      <w:r w:rsidRPr="005872CF">
        <w:rPr>
          <w:rFonts w:cs="Times New Roman"/>
          <w:szCs w:val="21"/>
        </w:rPr>
        <w:tab/>
        <w:t>c</w:t>
      </w:r>
      <w:r w:rsidRPr="005872CF">
        <w:rPr>
          <w:rFonts w:cs="Times New Roman"/>
          <w:szCs w:val="21"/>
        </w:rPr>
        <w:tab/>
        <w:t>andel personer uden uddannelse/uoplyst uddannelse i afdeling n.</w:t>
      </w:r>
    </w:p>
    <w:p w14:paraId="477CA41D" w14:textId="77777777" w:rsidR="005872CF" w:rsidRPr="005872CF" w:rsidRDefault="005872CF" w:rsidP="006D64ED">
      <w:pPr>
        <w:spacing w:after="0" w:line="240" w:lineRule="auto"/>
        <w:rPr>
          <w:rFonts w:cs="Times New Roman"/>
          <w:szCs w:val="21"/>
        </w:rPr>
      </w:pPr>
      <w:r w:rsidRPr="005872CF">
        <w:rPr>
          <w:rFonts w:cs="Times New Roman"/>
          <w:szCs w:val="21"/>
        </w:rPr>
        <w:tab/>
        <w:t>d1</w:t>
      </w:r>
      <w:r w:rsidRPr="005872CF">
        <w:rPr>
          <w:rFonts w:cs="Times New Roman"/>
          <w:szCs w:val="21"/>
        </w:rPr>
        <w:tab/>
        <w:t>andel personer uden tilknytning til arbejdsmarkedet i afdeling 1.</w:t>
      </w:r>
    </w:p>
    <w:p w14:paraId="13B0C8B3" w14:textId="77777777" w:rsidR="005872CF" w:rsidRPr="005872CF" w:rsidRDefault="005872CF" w:rsidP="006D64ED">
      <w:pPr>
        <w:spacing w:after="0" w:line="240" w:lineRule="auto"/>
        <w:rPr>
          <w:rFonts w:cs="Times New Roman"/>
          <w:szCs w:val="21"/>
        </w:rPr>
      </w:pPr>
      <w:r w:rsidRPr="005872CF">
        <w:rPr>
          <w:rFonts w:cs="Times New Roman"/>
          <w:szCs w:val="21"/>
        </w:rPr>
        <w:tab/>
        <w:t>d</w:t>
      </w:r>
      <w:r w:rsidRPr="005872CF">
        <w:rPr>
          <w:rFonts w:cs="Times New Roman"/>
          <w:szCs w:val="21"/>
        </w:rPr>
        <w:tab/>
        <w:t>andel personer uden tilknytning til arbejdsmarkedet i afdeling n.</w:t>
      </w:r>
    </w:p>
    <w:p w14:paraId="00103E8B" w14:textId="77777777" w:rsidR="005872CF" w:rsidRPr="005872CF" w:rsidRDefault="005872CF" w:rsidP="006D64ED">
      <w:pPr>
        <w:spacing w:after="0" w:line="240" w:lineRule="auto"/>
        <w:rPr>
          <w:rFonts w:cs="Times New Roman"/>
          <w:szCs w:val="21"/>
        </w:rPr>
      </w:pPr>
    </w:p>
    <w:p w14:paraId="0A3C00DD" w14:textId="77777777" w:rsidR="005872CF" w:rsidRPr="005872CF" w:rsidRDefault="005872CF" w:rsidP="006D64ED">
      <w:pPr>
        <w:spacing w:after="0" w:line="240" w:lineRule="auto"/>
        <w:rPr>
          <w:rFonts w:cs="Times New Roman"/>
          <w:szCs w:val="21"/>
        </w:rPr>
      </w:pPr>
      <w:r w:rsidRPr="005872CF">
        <w:rPr>
          <w:rFonts w:cs="Times New Roman"/>
          <w:szCs w:val="21"/>
        </w:rPr>
        <w:t>Jo mindre afstand desto mere 'ligner' to afdelinger hinanden.</w:t>
      </w:r>
    </w:p>
    <w:p w14:paraId="3AF9D1C3" w14:textId="77777777" w:rsidR="005872CF" w:rsidRPr="005872CF" w:rsidRDefault="005872CF" w:rsidP="006D64ED">
      <w:pPr>
        <w:spacing w:after="0" w:line="240" w:lineRule="auto"/>
        <w:rPr>
          <w:rFonts w:cs="Times New Roman"/>
          <w:szCs w:val="21"/>
        </w:rPr>
      </w:pPr>
    </w:p>
    <w:p w14:paraId="3247D704" w14:textId="77777777" w:rsidR="005872CF" w:rsidRPr="005872CF" w:rsidRDefault="005872CF" w:rsidP="006D64ED">
      <w:pPr>
        <w:spacing w:after="0" w:line="240" w:lineRule="auto"/>
        <w:rPr>
          <w:rFonts w:cs="Times New Roman"/>
          <w:b/>
          <w:szCs w:val="21"/>
        </w:rPr>
      </w:pPr>
      <w:r w:rsidRPr="005872CF">
        <w:rPr>
          <w:rFonts w:cs="Times New Roman"/>
          <w:b/>
          <w:szCs w:val="21"/>
        </w:rPr>
        <w:t>Eksempel</w:t>
      </w:r>
    </w:p>
    <w:p w14:paraId="09108262" w14:textId="77777777" w:rsidR="005872CF" w:rsidRPr="005872CF" w:rsidRDefault="005872CF" w:rsidP="006D64ED">
      <w:pPr>
        <w:spacing w:after="0" w:line="240" w:lineRule="auto"/>
        <w:rPr>
          <w:rFonts w:cs="Times New Roman"/>
          <w:sz w:val="22"/>
        </w:rPr>
      </w:pPr>
    </w:p>
    <w:p w14:paraId="5966997B" w14:textId="77777777" w:rsidR="005872CF" w:rsidRPr="005872CF" w:rsidRDefault="005872CF" w:rsidP="006D64ED">
      <w:pPr>
        <w:spacing w:after="0" w:line="240" w:lineRule="auto"/>
        <w:rPr>
          <w:rFonts w:cs="Times New Roman"/>
          <w:szCs w:val="21"/>
        </w:rPr>
      </w:pPr>
      <w:r w:rsidRPr="005872CF">
        <w:rPr>
          <w:rFonts w:cs="Times New Roman"/>
          <w:szCs w:val="21"/>
        </w:rPr>
        <w:t>Lad os antage, der blot eksisterer fem afdelinger. Vi vil gerne finde hver afdelings tætteste tvilling. De fem afdelinger er kendetegnet ved hver to indikatorvariable.</w:t>
      </w:r>
    </w:p>
    <w:p w14:paraId="501AE025" w14:textId="77777777" w:rsidR="005872CF" w:rsidRPr="005872CF" w:rsidRDefault="005872CF" w:rsidP="006D64ED">
      <w:pPr>
        <w:spacing w:after="0" w:line="240" w:lineRule="auto"/>
        <w:rPr>
          <w:rFonts w:cs="Times New Roman"/>
          <w:szCs w:val="21"/>
        </w:rPr>
      </w:pPr>
    </w:p>
    <w:p w14:paraId="3215CAD4" w14:textId="77777777" w:rsidR="005872CF" w:rsidRPr="005872CF" w:rsidRDefault="005872CF" w:rsidP="006D64ED">
      <w:pPr>
        <w:spacing w:after="0" w:line="240" w:lineRule="auto"/>
        <w:rPr>
          <w:rFonts w:cs="Times New Roman"/>
          <w:szCs w:val="21"/>
        </w:rPr>
      </w:pPr>
      <w:r w:rsidRPr="005872CF">
        <w:rPr>
          <w:rFonts w:cs="Times New Roman"/>
          <w:szCs w:val="21"/>
        </w:rPr>
        <w:t>Tabel 1. Indikatorværdier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3"/>
        <w:gridCol w:w="3214"/>
      </w:tblGrid>
      <w:tr w:rsidR="005872CF" w:rsidRPr="005872CF" w14:paraId="3DF897C9" w14:textId="77777777" w:rsidTr="00524D47">
        <w:tc>
          <w:tcPr>
            <w:tcW w:w="3259" w:type="dxa"/>
            <w:tcBorders>
              <w:top w:val="single" w:sz="4" w:space="0" w:color="auto"/>
              <w:bottom w:val="single" w:sz="4" w:space="0" w:color="auto"/>
            </w:tcBorders>
          </w:tcPr>
          <w:p w14:paraId="0912E343" w14:textId="77777777" w:rsidR="005872CF" w:rsidRPr="005872CF" w:rsidRDefault="005872CF" w:rsidP="006D64ED">
            <w:pPr>
              <w:rPr>
                <w:rFonts w:cs="Times New Roman"/>
                <w:szCs w:val="21"/>
              </w:rPr>
            </w:pPr>
          </w:p>
        </w:tc>
        <w:tc>
          <w:tcPr>
            <w:tcW w:w="3259" w:type="dxa"/>
            <w:tcBorders>
              <w:top w:val="single" w:sz="4" w:space="0" w:color="auto"/>
              <w:bottom w:val="single" w:sz="4" w:space="0" w:color="auto"/>
            </w:tcBorders>
          </w:tcPr>
          <w:p w14:paraId="34A53651" w14:textId="77777777" w:rsidR="005872CF" w:rsidRPr="005872CF" w:rsidRDefault="005872CF" w:rsidP="006D64ED">
            <w:pPr>
              <w:jc w:val="center"/>
              <w:rPr>
                <w:rFonts w:cs="Times New Roman"/>
                <w:szCs w:val="21"/>
              </w:rPr>
            </w:pPr>
            <w:r w:rsidRPr="005872CF">
              <w:rPr>
                <w:rFonts w:cs="Times New Roman"/>
                <w:szCs w:val="21"/>
              </w:rPr>
              <w:t>Indikator 1</w:t>
            </w:r>
          </w:p>
        </w:tc>
        <w:tc>
          <w:tcPr>
            <w:tcW w:w="3260" w:type="dxa"/>
            <w:tcBorders>
              <w:top w:val="single" w:sz="4" w:space="0" w:color="auto"/>
              <w:bottom w:val="single" w:sz="4" w:space="0" w:color="auto"/>
            </w:tcBorders>
          </w:tcPr>
          <w:p w14:paraId="41218503" w14:textId="77777777" w:rsidR="005872CF" w:rsidRPr="005872CF" w:rsidRDefault="005872CF" w:rsidP="006D64ED">
            <w:pPr>
              <w:jc w:val="center"/>
              <w:rPr>
                <w:rFonts w:cs="Times New Roman"/>
                <w:szCs w:val="21"/>
              </w:rPr>
            </w:pPr>
            <w:r w:rsidRPr="005872CF">
              <w:rPr>
                <w:rFonts w:cs="Times New Roman"/>
                <w:szCs w:val="21"/>
              </w:rPr>
              <w:t>Indikator 2</w:t>
            </w:r>
          </w:p>
        </w:tc>
      </w:tr>
      <w:tr w:rsidR="005872CF" w:rsidRPr="005872CF" w14:paraId="251303BF" w14:textId="77777777" w:rsidTr="00524D47">
        <w:tc>
          <w:tcPr>
            <w:tcW w:w="3259" w:type="dxa"/>
            <w:tcBorders>
              <w:top w:val="single" w:sz="4" w:space="0" w:color="auto"/>
            </w:tcBorders>
          </w:tcPr>
          <w:p w14:paraId="04E3CFBE" w14:textId="77777777" w:rsidR="005872CF" w:rsidRPr="005872CF" w:rsidRDefault="005872CF" w:rsidP="006D64ED">
            <w:pPr>
              <w:rPr>
                <w:rFonts w:cs="Times New Roman"/>
                <w:szCs w:val="21"/>
              </w:rPr>
            </w:pPr>
            <w:r w:rsidRPr="005872CF">
              <w:rPr>
                <w:rFonts w:cs="Times New Roman"/>
                <w:szCs w:val="21"/>
              </w:rPr>
              <w:t>Afdeling 1</w:t>
            </w:r>
          </w:p>
        </w:tc>
        <w:tc>
          <w:tcPr>
            <w:tcW w:w="3259" w:type="dxa"/>
            <w:tcBorders>
              <w:top w:val="single" w:sz="4" w:space="0" w:color="auto"/>
            </w:tcBorders>
          </w:tcPr>
          <w:p w14:paraId="32A557B5" w14:textId="77777777" w:rsidR="005872CF" w:rsidRPr="005872CF" w:rsidRDefault="005872CF" w:rsidP="006D64ED">
            <w:pPr>
              <w:jc w:val="center"/>
              <w:rPr>
                <w:rFonts w:cs="Times New Roman"/>
                <w:szCs w:val="21"/>
              </w:rPr>
            </w:pPr>
            <w:r w:rsidRPr="005872CF">
              <w:rPr>
                <w:rFonts w:cs="Times New Roman"/>
                <w:szCs w:val="21"/>
              </w:rPr>
              <w:t>3</w:t>
            </w:r>
          </w:p>
        </w:tc>
        <w:tc>
          <w:tcPr>
            <w:tcW w:w="3260" w:type="dxa"/>
            <w:tcBorders>
              <w:top w:val="single" w:sz="4" w:space="0" w:color="auto"/>
            </w:tcBorders>
          </w:tcPr>
          <w:p w14:paraId="0C2290A0" w14:textId="77777777" w:rsidR="005872CF" w:rsidRPr="005872CF" w:rsidRDefault="005872CF" w:rsidP="006D64ED">
            <w:pPr>
              <w:jc w:val="center"/>
              <w:rPr>
                <w:rFonts w:cs="Times New Roman"/>
                <w:szCs w:val="21"/>
              </w:rPr>
            </w:pPr>
            <w:r w:rsidRPr="005872CF">
              <w:rPr>
                <w:rFonts w:cs="Times New Roman"/>
                <w:szCs w:val="21"/>
              </w:rPr>
              <w:t>21</w:t>
            </w:r>
          </w:p>
        </w:tc>
      </w:tr>
      <w:tr w:rsidR="005872CF" w:rsidRPr="005872CF" w14:paraId="18A34BB0" w14:textId="77777777" w:rsidTr="00524D47">
        <w:tc>
          <w:tcPr>
            <w:tcW w:w="3259" w:type="dxa"/>
          </w:tcPr>
          <w:p w14:paraId="65838403" w14:textId="77777777" w:rsidR="005872CF" w:rsidRPr="005872CF" w:rsidRDefault="005872CF" w:rsidP="006D64ED">
            <w:pPr>
              <w:rPr>
                <w:rFonts w:cs="Times New Roman"/>
                <w:szCs w:val="21"/>
              </w:rPr>
            </w:pPr>
            <w:r w:rsidRPr="005872CF">
              <w:rPr>
                <w:rFonts w:cs="Times New Roman"/>
                <w:szCs w:val="21"/>
              </w:rPr>
              <w:t>Afdeling 2</w:t>
            </w:r>
          </w:p>
        </w:tc>
        <w:tc>
          <w:tcPr>
            <w:tcW w:w="3259" w:type="dxa"/>
          </w:tcPr>
          <w:p w14:paraId="016C47D4" w14:textId="77777777" w:rsidR="005872CF" w:rsidRPr="005872CF" w:rsidRDefault="005872CF" w:rsidP="006D64ED">
            <w:pPr>
              <w:jc w:val="center"/>
              <w:rPr>
                <w:rFonts w:cs="Times New Roman"/>
                <w:szCs w:val="21"/>
              </w:rPr>
            </w:pPr>
            <w:r w:rsidRPr="005872CF">
              <w:rPr>
                <w:rFonts w:cs="Times New Roman"/>
                <w:szCs w:val="21"/>
              </w:rPr>
              <w:t>2</w:t>
            </w:r>
          </w:p>
        </w:tc>
        <w:tc>
          <w:tcPr>
            <w:tcW w:w="3260" w:type="dxa"/>
          </w:tcPr>
          <w:p w14:paraId="320C303C" w14:textId="77777777" w:rsidR="005872CF" w:rsidRPr="005872CF" w:rsidRDefault="005872CF" w:rsidP="006D64ED">
            <w:pPr>
              <w:jc w:val="center"/>
              <w:rPr>
                <w:rFonts w:cs="Times New Roman"/>
                <w:szCs w:val="21"/>
              </w:rPr>
            </w:pPr>
            <w:r w:rsidRPr="005872CF">
              <w:rPr>
                <w:rFonts w:cs="Times New Roman"/>
                <w:szCs w:val="21"/>
              </w:rPr>
              <w:t>22</w:t>
            </w:r>
          </w:p>
        </w:tc>
      </w:tr>
      <w:tr w:rsidR="005872CF" w:rsidRPr="005872CF" w14:paraId="1D8554C3" w14:textId="77777777" w:rsidTr="00524D47">
        <w:tc>
          <w:tcPr>
            <w:tcW w:w="3259" w:type="dxa"/>
          </w:tcPr>
          <w:p w14:paraId="4B9B4E67" w14:textId="77777777" w:rsidR="005872CF" w:rsidRPr="005872CF" w:rsidRDefault="005872CF" w:rsidP="006D64ED">
            <w:pPr>
              <w:rPr>
                <w:rFonts w:cs="Times New Roman"/>
                <w:szCs w:val="21"/>
              </w:rPr>
            </w:pPr>
            <w:r w:rsidRPr="005872CF">
              <w:rPr>
                <w:rFonts w:cs="Times New Roman"/>
                <w:szCs w:val="21"/>
              </w:rPr>
              <w:t>Afdeling 3</w:t>
            </w:r>
          </w:p>
        </w:tc>
        <w:tc>
          <w:tcPr>
            <w:tcW w:w="3259" w:type="dxa"/>
          </w:tcPr>
          <w:p w14:paraId="201BB51A" w14:textId="77777777" w:rsidR="005872CF" w:rsidRPr="005872CF" w:rsidRDefault="005872CF" w:rsidP="006D64ED">
            <w:pPr>
              <w:jc w:val="center"/>
              <w:rPr>
                <w:rFonts w:cs="Times New Roman"/>
                <w:szCs w:val="21"/>
              </w:rPr>
            </w:pPr>
            <w:r w:rsidRPr="005872CF">
              <w:rPr>
                <w:rFonts w:cs="Times New Roman"/>
                <w:szCs w:val="21"/>
              </w:rPr>
              <w:t>8</w:t>
            </w:r>
          </w:p>
        </w:tc>
        <w:tc>
          <w:tcPr>
            <w:tcW w:w="3260" w:type="dxa"/>
          </w:tcPr>
          <w:p w14:paraId="61FF62FC" w14:textId="77777777" w:rsidR="005872CF" w:rsidRPr="005872CF" w:rsidRDefault="005872CF" w:rsidP="006D64ED">
            <w:pPr>
              <w:jc w:val="center"/>
              <w:rPr>
                <w:rFonts w:cs="Times New Roman"/>
                <w:szCs w:val="21"/>
              </w:rPr>
            </w:pPr>
            <w:r w:rsidRPr="005872CF">
              <w:rPr>
                <w:rFonts w:cs="Times New Roman"/>
                <w:szCs w:val="21"/>
              </w:rPr>
              <w:t>21</w:t>
            </w:r>
          </w:p>
        </w:tc>
      </w:tr>
      <w:tr w:rsidR="005872CF" w:rsidRPr="005872CF" w14:paraId="5F89242B" w14:textId="77777777" w:rsidTr="00524D47">
        <w:tc>
          <w:tcPr>
            <w:tcW w:w="3259" w:type="dxa"/>
          </w:tcPr>
          <w:p w14:paraId="1F116FF1" w14:textId="77777777" w:rsidR="005872CF" w:rsidRPr="005872CF" w:rsidRDefault="005872CF" w:rsidP="006D64ED">
            <w:pPr>
              <w:rPr>
                <w:rFonts w:cs="Times New Roman"/>
                <w:szCs w:val="21"/>
              </w:rPr>
            </w:pPr>
            <w:r w:rsidRPr="005872CF">
              <w:rPr>
                <w:rFonts w:cs="Times New Roman"/>
                <w:szCs w:val="21"/>
              </w:rPr>
              <w:t>Afdeling 4</w:t>
            </w:r>
          </w:p>
        </w:tc>
        <w:tc>
          <w:tcPr>
            <w:tcW w:w="3259" w:type="dxa"/>
          </w:tcPr>
          <w:p w14:paraId="7B0045BE" w14:textId="77777777" w:rsidR="005872CF" w:rsidRPr="005872CF" w:rsidRDefault="005872CF" w:rsidP="006D64ED">
            <w:pPr>
              <w:jc w:val="center"/>
              <w:rPr>
                <w:rFonts w:cs="Times New Roman"/>
                <w:szCs w:val="21"/>
              </w:rPr>
            </w:pPr>
            <w:r w:rsidRPr="005872CF">
              <w:rPr>
                <w:rFonts w:cs="Times New Roman"/>
                <w:szCs w:val="21"/>
              </w:rPr>
              <w:t>4</w:t>
            </w:r>
          </w:p>
        </w:tc>
        <w:tc>
          <w:tcPr>
            <w:tcW w:w="3260" w:type="dxa"/>
          </w:tcPr>
          <w:p w14:paraId="54807804" w14:textId="77777777" w:rsidR="005872CF" w:rsidRPr="005872CF" w:rsidRDefault="005872CF" w:rsidP="006D64ED">
            <w:pPr>
              <w:jc w:val="center"/>
              <w:rPr>
                <w:rFonts w:cs="Times New Roman"/>
                <w:szCs w:val="21"/>
              </w:rPr>
            </w:pPr>
            <w:r w:rsidRPr="005872CF">
              <w:rPr>
                <w:rFonts w:cs="Times New Roman"/>
                <w:szCs w:val="21"/>
              </w:rPr>
              <w:t>23</w:t>
            </w:r>
          </w:p>
        </w:tc>
      </w:tr>
      <w:tr w:rsidR="005872CF" w:rsidRPr="005872CF" w14:paraId="7239026F" w14:textId="77777777" w:rsidTr="00524D47">
        <w:tc>
          <w:tcPr>
            <w:tcW w:w="3259" w:type="dxa"/>
            <w:tcBorders>
              <w:bottom w:val="single" w:sz="4" w:space="0" w:color="auto"/>
            </w:tcBorders>
          </w:tcPr>
          <w:p w14:paraId="2B3D62FC" w14:textId="77777777" w:rsidR="005872CF" w:rsidRPr="005872CF" w:rsidRDefault="005872CF" w:rsidP="006D64ED">
            <w:pPr>
              <w:rPr>
                <w:rFonts w:cs="Times New Roman"/>
                <w:szCs w:val="21"/>
              </w:rPr>
            </w:pPr>
            <w:r w:rsidRPr="005872CF">
              <w:rPr>
                <w:rFonts w:cs="Times New Roman"/>
                <w:szCs w:val="21"/>
              </w:rPr>
              <w:t>Afdeling 5</w:t>
            </w:r>
          </w:p>
        </w:tc>
        <w:tc>
          <w:tcPr>
            <w:tcW w:w="3259" w:type="dxa"/>
            <w:tcBorders>
              <w:bottom w:val="single" w:sz="4" w:space="0" w:color="auto"/>
            </w:tcBorders>
          </w:tcPr>
          <w:p w14:paraId="6D0B1D75" w14:textId="77777777" w:rsidR="005872CF" w:rsidRPr="005872CF" w:rsidRDefault="005872CF" w:rsidP="006D64ED">
            <w:pPr>
              <w:jc w:val="center"/>
              <w:rPr>
                <w:rFonts w:cs="Times New Roman"/>
                <w:szCs w:val="21"/>
              </w:rPr>
            </w:pPr>
            <w:r w:rsidRPr="005872CF">
              <w:rPr>
                <w:rFonts w:cs="Times New Roman"/>
                <w:szCs w:val="21"/>
              </w:rPr>
              <w:t>5</w:t>
            </w:r>
          </w:p>
        </w:tc>
        <w:tc>
          <w:tcPr>
            <w:tcW w:w="3260" w:type="dxa"/>
            <w:tcBorders>
              <w:bottom w:val="single" w:sz="4" w:space="0" w:color="auto"/>
            </w:tcBorders>
          </w:tcPr>
          <w:p w14:paraId="5E760F62" w14:textId="77777777" w:rsidR="005872CF" w:rsidRPr="005872CF" w:rsidRDefault="005872CF" w:rsidP="006D64ED">
            <w:pPr>
              <w:jc w:val="center"/>
              <w:rPr>
                <w:rFonts w:cs="Times New Roman"/>
                <w:szCs w:val="21"/>
              </w:rPr>
            </w:pPr>
            <w:r w:rsidRPr="005872CF">
              <w:rPr>
                <w:rFonts w:cs="Times New Roman"/>
                <w:szCs w:val="21"/>
              </w:rPr>
              <w:t>23</w:t>
            </w:r>
          </w:p>
        </w:tc>
      </w:tr>
    </w:tbl>
    <w:p w14:paraId="101F4261" w14:textId="77777777" w:rsidR="005872CF" w:rsidRPr="005872CF" w:rsidRDefault="005872CF" w:rsidP="006D64ED">
      <w:pPr>
        <w:spacing w:after="0" w:line="240" w:lineRule="auto"/>
        <w:rPr>
          <w:rFonts w:cs="Times New Roman"/>
          <w:szCs w:val="21"/>
        </w:rPr>
      </w:pPr>
    </w:p>
    <w:p w14:paraId="1A424601" w14:textId="77777777" w:rsidR="005872CF" w:rsidRPr="005872CF" w:rsidRDefault="005872CF" w:rsidP="006D64ED">
      <w:pPr>
        <w:spacing w:after="0" w:line="240" w:lineRule="auto"/>
        <w:rPr>
          <w:rFonts w:cs="Times New Roman"/>
          <w:szCs w:val="21"/>
        </w:rPr>
      </w:pPr>
      <w:r w:rsidRPr="005872CF">
        <w:rPr>
          <w:rFonts w:cs="Times New Roman"/>
          <w:szCs w:val="21"/>
        </w:rPr>
        <w:t xml:space="preserve">Først udregnes middelværdien og standardafvigelsen for hver afdeling. Middelværdierne er henholdsvis 3,4 og 22. </w:t>
      </w:r>
    </w:p>
    <w:p w14:paraId="7B8441C4" w14:textId="77777777" w:rsidR="00524D47" w:rsidRDefault="00524D47" w:rsidP="006D64ED">
      <w:pPr>
        <w:spacing w:after="0" w:line="240" w:lineRule="auto"/>
        <w:rPr>
          <w:rFonts w:cs="Times New Roman"/>
          <w:szCs w:val="21"/>
        </w:rPr>
      </w:pPr>
    </w:p>
    <w:p w14:paraId="1BDBFF41" w14:textId="77777777" w:rsidR="005872CF" w:rsidRPr="005872CF" w:rsidRDefault="005872CF" w:rsidP="006D64ED">
      <w:pPr>
        <w:spacing w:after="0" w:line="240" w:lineRule="auto"/>
        <w:rPr>
          <w:rFonts w:cs="Times New Roman"/>
          <w:szCs w:val="21"/>
        </w:rPr>
      </w:pPr>
      <w:r w:rsidRPr="005872CF">
        <w:rPr>
          <w:rFonts w:cs="Times New Roman"/>
          <w:szCs w:val="21"/>
        </w:rPr>
        <w:t>Herefter udregnes standardafvigelsen vha. formlen</w:t>
      </w:r>
    </w:p>
    <w:p w14:paraId="61DC2E9D" w14:textId="77777777" w:rsidR="005872CF" w:rsidRPr="005872CF" w:rsidRDefault="005872CF" w:rsidP="006D64ED">
      <w:pPr>
        <w:spacing w:after="0" w:line="240" w:lineRule="auto"/>
        <w:rPr>
          <w:rFonts w:cs="Times New Roman"/>
          <w:szCs w:val="21"/>
        </w:rPr>
      </w:pPr>
    </w:p>
    <w:p w14:paraId="56F51A3F" w14:textId="77777777" w:rsidR="005872CF" w:rsidRPr="005872CF" w:rsidRDefault="002B309B" w:rsidP="006D64ED">
      <w:pPr>
        <w:spacing w:after="0" w:line="240" w:lineRule="auto"/>
        <w:rPr>
          <w:rFonts w:eastAsiaTheme="minorEastAsia" w:cs="Times New Roman"/>
          <w:szCs w:val="21"/>
        </w:rPr>
      </w:pPr>
      <m:oMathPara>
        <m:oMath>
          <m:rad>
            <m:radPr>
              <m:degHide m:val="1"/>
              <m:ctrlPr>
                <w:rPr>
                  <w:rFonts w:ascii="Cambria Math" w:eastAsiaTheme="minorEastAsia" w:hAnsi="Cambria Math" w:cs="Times New Roman"/>
                  <w:i/>
                  <w:szCs w:val="21"/>
                </w:rPr>
              </m:ctrlPr>
            </m:radPr>
            <m:deg/>
            <m:e>
              <m:f>
                <m:fPr>
                  <m:ctrlPr>
                    <w:rPr>
                      <w:rFonts w:ascii="Cambria Math" w:eastAsiaTheme="minorEastAsia" w:hAnsi="Cambria Math" w:cs="Times New Roman"/>
                      <w:i/>
                      <w:szCs w:val="21"/>
                    </w:rPr>
                  </m:ctrlPr>
                </m:fPr>
                <m:num>
                  <m:nary>
                    <m:naryPr>
                      <m:chr m:val="∑"/>
                      <m:limLoc m:val="undOvr"/>
                      <m:ctrlPr>
                        <w:rPr>
                          <w:rFonts w:ascii="Cambria Math" w:eastAsiaTheme="minorEastAsia" w:hAnsi="Cambria Math" w:cs="Times New Roman"/>
                          <w:i/>
                          <w:szCs w:val="21"/>
                        </w:rPr>
                      </m:ctrlPr>
                    </m:naryPr>
                    <m:sub>
                      <m:r>
                        <w:rPr>
                          <w:rFonts w:ascii="Cambria Math" w:eastAsiaTheme="minorEastAsia" w:hAnsi="Cambria Math" w:cs="Times New Roman"/>
                          <w:szCs w:val="21"/>
                        </w:rPr>
                        <m:t>i1</m:t>
                      </m:r>
                    </m:sub>
                    <m:sup>
                      <m:r>
                        <w:rPr>
                          <w:rFonts w:ascii="Cambria Math" w:eastAsiaTheme="minorEastAsia" w:hAnsi="Cambria Math" w:cs="Times New Roman"/>
                          <w:szCs w:val="21"/>
                        </w:rPr>
                        <m:t>n</m:t>
                      </m:r>
                    </m:sup>
                    <m:e>
                      <m:sSup>
                        <m:sSupPr>
                          <m:ctrlPr>
                            <w:rPr>
                              <w:rFonts w:ascii="Cambria Math" w:eastAsiaTheme="minorEastAsia" w:hAnsi="Cambria Math" w:cs="Times New Roman"/>
                              <w:i/>
                              <w:szCs w:val="21"/>
                            </w:rPr>
                          </m:ctrlPr>
                        </m:sSupPr>
                        <m:e>
                          <m:d>
                            <m:dPr>
                              <m:ctrlPr>
                                <w:rPr>
                                  <w:rFonts w:ascii="Cambria Math" w:eastAsiaTheme="minorEastAsia" w:hAnsi="Cambria Math" w:cs="Times New Roman"/>
                                  <w:i/>
                                  <w:szCs w:val="21"/>
                                </w:rPr>
                              </m:ctrlPr>
                            </m:dPr>
                            <m:e>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x</m:t>
                                  </m:r>
                                </m:e>
                                <m:sub>
                                  <m:r>
                                    <w:rPr>
                                      <w:rFonts w:ascii="Cambria Math" w:eastAsiaTheme="minorEastAsia" w:hAnsi="Cambria Math" w:cs="Times New Roman"/>
                                      <w:szCs w:val="21"/>
                                    </w:rPr>
                                    <m:t>i</m:t>
                                  </m:r>
                                </m:sub>
                              </m:sSub>
                              <m:r>
                                <w:rPr>
                                  <w:rFonts w:ascii="Cambria Math" w:eastAsiaTheme="minorEastAsia" w:hAnsi="Cambria Math" w:cs="Times New Roman"/>
                                  <w:szCs w:val="21"/>
                                </w:rPr>
                                <m:t>-</m:t>
                              </m:r>
                              <m:acc>
                                <m:accPr>
                                  <m:chr m:val="̅"/>
                                  <m:ctrlPr>
                                    <w:rPr>
                                      <w:rFonts w:ascii="Cambria Math" w:eastAsiaTheme="minorEastAsia" w:hAnsi="Cambria Math" w:cs="Times New Roman"/>
                                      <w:i/>
                                      <w:szCs w:val="21"/>
                                    </w:rPr>
                                  </m:ctrlPr>
                                </m:accPr>
                                <m:e>
                                  <m:r>
                                    <w:rPr>
                                      <w:rFonts w:ascii="Cambria Math" w:eastAsiaTheme="minorEastAsia" w:hAnsi="Cambria Math" w:cs="Times New Roman"/>
                                      <w:szCs w:val="21"/>
                                    </w:rPr>
                                    <m:t>x</m:t>
                                  </m:r>
                                </m:e>
                              </m:acc>
                            </m:e>
                          </m:d>
                        </m:e>
                        <m:sup>
                          <m:r>
                            <w:rPr>
                              <w:rFonts w:ascii="Cambria Math" w:eastAsiaTheme="minorEastAsia" w:hAnsi="Cambria Math" w:cs="Times New Roman"/>
                              <w:szCs w:val="21"/>
                            </w:rPr>
                            <m:t>2</m:t>
                          </m:r>
                        </m:sup>
                      </m:sSup>
                    </m:e>
                  </m:nary>
                </m:num>
                <m:den>
                  <m:r>
                    <w:rPr>
                      <w:rFonts w:ascii="Cambria Math" w:eastAsiaTheme="minorEastAsia" w:hAnsi="Cambria Math" w:cs="Times New Roman"/>
                      <w:szCs w:val="21"/>
                    </w:rPr>
                    <m:t>n-1</m:t>
                  </m:r>
                </m:den>
              </m:f>
            </m:e>
          </m:rad>
        </m:oMath>
      </m:oMathPara>
    </w:p>
    <w:p w14:paraId="13FCBB3B" w14:textId="77777777" w:rsidR="005872CF" w:rsidRPr="005872CF" w:rsidRDefault="005872CF" w:rsidP="006D64ED">
      <w:pPr>
        <w:spacing w:after="0" w:line="240" w:lineRule="auto"/>
        <w:rPr>
          <w:rFonts w:eastAsiaTheme="minorEastAsia" w:cs="Times New Roman"/>
          <w:szCs w:val="21"/>
        </w:rPr>
      </w:pPr>
    </w:p>
    <w:p w14:paraId="61A77FD4" w14:textId="77777777"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lastRenderedPageBreak/>
        <w:t xml:space="preserve">Hvor </w:t>
      </w:r>
      <m:oMath>
        <m:sSub>
          <m:sSubPr>
            <m:ctrlPr>
              <w:rPr>
                <w:rFonts w:ascii="Cambria Math" w:hAnsi="Cambria Math" w:cs="Times New Roman"/>
                <w:i/>
                <w:szCs w:val="21"/>
              </w:rPr>
            </m:ctrlPr>
          </m:sSubPr>
          <m:e>
            <m:r>
              <w:rPr>
                <w:rFonts w:ascii="Cambria Math" w:hAnsi="Cambria Math" w:cs="Times New Roman"/>
                <w:szCs w:val="21"/>
              </w:rPr>
              <m:t>x</m:t>
            </m:r>
          </m:e>
          <m:sub>
            <m:r>
              <w:rPr>
                <w:rFonts w:ascii="Cambria Math" w:hAnsi="Cambria Math" w:cs="Times New Roman"/>
                <w:szCs w:val="21"/>
              </w:rPr>
              <m:t>i</m:t>
            </m:r>
          </m:sub>
        </m:sSub>
      </m:oMath>
      <w:r w:rsidRPr="005872CF">
        <w:rPr>
          <w:rFonts w:eastAsiaTheme="minorEastAsia" w:cs="Times New Roman"/>
          <w:szCs w:val="21"/>
        </w:rPr>
        <w:t xml:space="preserve"> angiver indikatorværdien for afdeling i (1-5), </w:t>
      </w:r>
      <m:oMath>
        <m:acc>
          <m:accPr>
            <m:chr m:val="̅"/>
            <m:ctrlPr>
              <w:rPr>
                <w:rFonts w:ascii="Cambria Math" w:eastAsiaTheme="minorEastAsia" w:hAnsi="Cambria Math" w:cs="Times New Roman"/>
                <w:i/>
                <w:szCs w:val="21"/>
              </w:rPr>
            </m:ctrlPr>
          </m:accPr>
          <m:e>
            <m:r>
              <w:rPr>
                <w:rFonts w:ascii="Cambria Math" w:eastAsiaTheme="minorEastAsia" w:hAnsi="Cambria Math" w:cs="Times New Roman"/>
                <w:szCs w:val="21"/>
              </w:rPr>
              <m:t>x</m:t>
            </m:r>
          </m:e>
        </m:acc>
      </m:oMath>
      <w:r w:rsidRPr="005872CF">
        <w:rPr>
          <w:rFonts w:eastAsiaTheme="minorEastAsia" w:cs="Times New Roman"/>
          <w:szCs w:val="21"/>
        </w:rPr>
        <w:t xml:space="preserve"> angiver middelværdien, mens n angiver det totale antal afdelinger (5). </w:t>
      </w:r>
    </w:p>
    <w:p w14:paraId="71DFC719" w14:textId="77777777" w:rsidR="00524D47" w:rsidRDefault="00524D47" w:rsidP="006D64ED">
      <w:pPr>
        <w:spacing w:after="0" w:line="240" w:lineRule="auto"/>
        <w:rPr>
          <w:rFonts w:eastAsiaTheme="minorEastAsia" w:cs="Times New Roman"/>
          <w:szCs w:val="21"/>
        </w:rPr>
      </w:pPr>
    </w:p>
    <w:p w14:paraId="30E5F72E" w14:textId="77777777"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t>For indikator 2 er beregningen således</w:t>
      </w:r>
    </w:p>
    <w:p w14:paraId="0148652C" w14:textId="77777777" w:rsidR="005872CF" w:rsidRPr="005872CF" w:rsidRDefault="005872CF" w:rsidP="006D64ED">
      <w:pPr>
        <w:spacing w:after="0" w:line="240" w:lineRule="auto"/>
        <w:rPr>
          <w:rFonts w:eastAsiaTheme="minorEastAsia" w:cs="Times New Roman"/>
          <w:szCs w:val="21"/>
        </w:rPr>
      </w:pPr>
    </w:p>
    <w:p w14:paraId="515E0B12" w14:textId="77777777" w:rsidR="005872CF" w:rsidRPr="005872CF" w:rsidRDefault="002B309B" w:rsidP="006D64ED">
      <w:pPr>
        <w:spacing w:after="0" w:line="240" w:lineRule="auto"/>
        <w:rPr>
          <w:rFonts w:eastAsiaTheme="minorEastAsia" w:cs="Times New Roman"/>
          <w:szCs w:val="21"/>
        </w:rPr>
      </w:pPr>
      <m:oMathPara>
        <m:oMath>
          <m:rad>
            <m:radPr>
              <m:degHide m:val="1"/>
              <m:ctrlPr>
                <w:rPr>
                  <w:rFonts w:ascii="Cambria Math" w:eastAsiaTheme="minorEastAsia" w:hAnsi="Cambria Math" w:cs="Times New Roman"/>
                  <w:i/>
                  <w:szCs w:val="21"/>
                </w:rPr>
              </m:ctrlPr>
            </m:radPr>
            <m:deg/>
            <m:e>
              <m:f>
                <m:fPr>
                  <m:ctrlPr>
                    <w:rPr>
                      <w:rFonts w:ascii="Cambria Math" w:eastAsiaTheme="minorEastAsia" w:hAnsi="Cambria Math" w:cs="Times New Roman"/>
                      <w:i/>
                      <w:szCs w:val="21"/>
                    </w:rPr>
                  </m:ctrlPr>
                </m:fPr>
                <m:num>
                  <m:sSup>
                    <m:sSupPr>
                      <m:ctrlPr>
                        <w:rPr>
                          <w:rFonts w:ascii="Cambria Math" w:eastAsiaTheme="minorEastAsia" w:hAnsi="Cambria Math" w:cs="Times New Roman"/>
                          <w:i/>
                          <w:szCs w:val="21"/>
                        </w:rPr>
                      </m:ctrlPr>
                    </m:sSupPr>
                    <m:e>
                      <m:d>
                        <m:dPr>
                          <m:ctrlPr>
                            <w:rPr>
                              <w:rFonts w:ascii="Cambria Math" w:eastAsiaTheme="minorEastAsia" w:hAnsi="Cambria Math" w:cs="Times New Roman"/>
                              <w:i/>
                              <w:szCs w:val="21"/>
                            </w:rPr>
                          </m:ctrlPr>
                        </m:dPr>
                        <m:e>
                          <m:r>
                            <w:rPr>
                              <w:rFonts w:ascii="Cambria Math" w:eastAsiaTheme="minorEastAsia" w:hAnsi="Cambria Math" w:cs="Times New Roman"/>
                              <w:szCs w:val="21"/>
                            </w:rPr>
                            <m:t>21-22</m:t>
                          </m:r>
                        </m:e>
                      </m:d>
                    </m:e>
                    <m:sup>
                      <m:r>
                        <w:rPr>
                          <w:rFonts w:ascii="Cambria Math" w:eastAsiaTheme="minorEastAsia" w:hAnsi="Cambria Math" w:cs="Times New Roman"/>
                          <w:szCs w:val="21"/>
                        </w:rPr>
                        <m:t>2</m:t>
                      </m:r>
                    </m:sup>
                  </m:sSup>
                  <m:r>
                    <w:rPr>
                      <w:rFonts w:ascii="Cambria Math" w:eastAsiaTheme="minorEastAsia" w:hAnsi="Cambria Math" w:cs="Times New Roman"/>
                      <w:szCs w:val="21"/>
                    </w:rPr>
                    <m:t>+</m:t>
                  </m:r>
                  <m:sSup>
                    <m:sSupPr>
                      <m:ctrlPr>
                        <w:rPr>
                          <w:rFonts w:ascii="Cambria Math" w:eastAsiaTheme="minorEastAsia" w:hAnsi="Cambria Math" w:cs="Times New Roman"/>
                          <w:i/>
                          <w:szCs w:val="21"/>
                        </w:rPr>
                      </m:ctrlPr>
                    </m:sSupPr>
                    <m:e>
                      <m:d>
                        <m:dPr>
                          <m:ctrlPr>
                            <w:rPr>
                              <w:rFonts w:ascii="Cambria Math" w:eastAsiaTheme="minorEastAsia" w:hAnsi="Cambria Math" w:cs="Times New Roman"/>
                              <w:i/>
                              <w:szCs w:val="21"/>
                            </w:rPr>
                          </m:ctrlPr>
                        </m:dPr>
                        <m:e>
                          <m:r>
                            <w:rPr>
                              <w:rFonts w:ascii="Cambria Math" w:eastAsiaTheme="minorEastAsia" w:hAnsi="Cambria Math" w:cs="Times New Roman"/>
                              <w:szCs w:val="21"/>
                            </w:rPr>
                            <m:t>22-22</m:t>
                          </m:r>
                        </m:e>
                      </m:d>
                    </m:e>
                    <m:sup>
                      <m:r>
                        <w:rPr>
                          <w:rFonts w:ascii="Cambria Math" w:eastAsiaTheme="minorEastAsia" w:hAnsi="Cambria Math" w:cs="Times New Roman"/>
                          <w:szCs w:val="21"/>
                        </w:rPr>
                        <m:t>2</m:t>
                      </m:r>
                    </m:sup>
                  </m:sSup>
                  <m:r>
                    <w:rPr>
                      <w:rFonts w:ascii="Cambria Math" w:eastAsiaTheme="minorEastAsia" w:hAnsi="Cambria Math" w:cs="Times New Roman"/>
                      <w:szCs w:val="21"/>
                    </w:rPr>
                    <m:t>+</m:t>
                  </m:r>
                  <m:sSup>
                    <m:sSupPr>
                      <m:ctrlPr>
                        <w:rPr>
                          <w:rFonts w:ascii="Cambria Math" w:eastAsiaTheme="minorEastAsia" w:hAnsi="Cambria Math" w:cs="Times New Roman"/>
                          <w:i/>
                          <w:szCs w:val="21"/>
                        </w:rPr>
                      </m:ctrlPr>
                    </m:sSupPr>
                    <m:e>
                      <m:d>
                        <m:dPr>
                          <m:ctrlPr>
                            <w:rPr>
                              <w:rFonts w:ascii="Cambria Math" w:eastAsiaTheme="minorEastAsia" w:hAnsi="Cambria Math" w:cs="Times New Roman"/>
                              <w:i/>
                              <w:szCs w:val="21"/>
                            </w:rPr>
                          </m:ctrlPr>
                        </m:dPr>
                        <m:e>
                          <m:r>
                            <w:rPr>
                              <w:rFonts w:ascii="Cambria Math" w:eastAsiaTheme="minorEastAsia" w:hAnsi="Cambria Math" w:cs="Times New Roman"/>
                              <w:szCs w:val="21"/>
                            </w:rPr>
                            <m:t>21-22</m:t>
                          </m:r>
                        </m:e>
                      </m:d>
                    </m:e>
                    <m:sup>
                      <m:r>
                        <w:rPr>
                          <w:rFonts w:ascii="Cambria Math" w:eastAsiaTheme="minorEastAsia" w:hAnsi="Cambria Math" w:cs="Times New Roman"/>
                          <w:szCs w:val="21"/>
                        </w:rPr>
                        <m:t>2</m:t>
                      </m:r>
                    </m:sup>
                  </m:sSup>
                  <m:r>
                    <w:rPr>
                      <w:rFonts w:ascii="Cambria Math" w:eastAsiaTheme="minorEastAsia" w:hAnsi="Cambria Math" w:cs="Times New Roman"/>
                      <w:szCs w:val="21"/>
                    </w:rPr>
                    <m:t>+</m:t>
                  </m:r>
                  <m:sSup>
                    <m:sSupPr>
                      <m:ctrlPr>
                        <w:rPr>
                          <w:rFonts w:ascii="Cambria Math" w:eastAsiaTheme="minorEastAsia" w:hAnsi="Cambria Math" w:cs="Times New Roman"/>
                          <w:i/>
                          <w:szCs w:val="21"/>
                        </w:rPr>
                      </m:ctrlPr>
                    </m:sSupPr>
                    <m:e>
                      <m:d>
                        <m:dPr>
                          <m:ctrlPr>
                            <w:rPr>
                              <w:rFonts w:ascii="Cambria Math" w:eastAsiaTheme="minorEastAsia" w:hAnsi="Cambria Math" w:cs="Times New Roman"/>
                              <w:i/>
                              <w:szCs w:val="21"/>
                            </w:rPr>
                          </m:ctrlPr>
                        </m:dPr>
                        <m:e>
                          <m:r>
                            <w:rPr>
                              <w:rFonts w:ascii="Cambria Math" w:eastAsiaTheme="minorEastAsia" w:hAnsi="Cambria Math" w:cs="Times New Roman"/>
                              <w:szCs w:val="21"/>
                            </w:rPr>
                            <m:t>23-22</m:t>
                          </m:r>
                        </m:e>
                      </m:d>
                    </m:e>
                    <m:sup>
                      <m:r>
                        <w:rPr>
                          <w:rFonts w:ascii="Cambria Math" w:eastAsiaTheme="minorEastAsia" w:hAnsi="Cambria Math" w:cs="Times New Roman"/>
                          <w:szCs w:val="21"/>
                        </w:rPr>
                        <m:t>2</m:t>
                      </m:r>
                    </m:sup>
                  </m:sSup>
                  <m:r>
                    <w:rPr>
                      <w:rFonts w:ascii="Cambria Math" w:eastAsiaTheme="minorEastAsia" w:hAnsi="Cambria Math" w:cs="Times New Roman"/>
                      <w:szCs w:val="21"/>
                    </w:rPr>
                    <m:t>+</m:t>
                  </m:r>
                  <m:sSup>
                    <m:sSupPr>
                      <m:ctrlPr>
                        <w:rPr>
                          <w:rFonts w:ascii="Cambria Math" w:eastAsiaTheme="minorEastAsia" w:hAnsi="Cambria Math" w:cs="Times New Roman"/>
                          <w:i/>
                          <w:szCs w:val="21"/>
                        </w:rPr>
                      </m:ctrlPr>
                    </m:sSupPr>
                    <m:e>
                      <m:d>
                        <m:dPr>
                          <m:ctrlPr>
                            <w:rPr>
                              <w:rFonts w:ascii="Cambria Math" w:eastAsiaTheme="minorEastAsia" w:hAnsi="Cambria Math" w:cs="Times New Roman"/>
                              <w:i/>
                              <w:szCs w:val="21"/>
                            </w:rPr>
                          </m:ctrlPr>
                        </m:dPr>
                        <m:e>
                          <m:r>
                            <w:rPr>
                              <w:rFonts w:ascii="Cambria Math" w:eastAsiaTheme="minorEastAsia" w:hAnsi="Cambria Math" w:cs="Times New Roman"/>
                              <w:szCs w:val="21"/>
                            </w:rPr>
                            <m:t>23-22</m:t>
                          </m:r>
                        </m:e>
                      </m:d>
                    </m:e>
                    <m:sup>
                      <m:r>
                        <w:rPr>
                          <w:rFonts w:ascii="Cambria Math" w:eastAsiaTheme="minorEastAsia" w:hAnsi="Cambria Math" w:cs="Times New Roman"/>
                          <w:szCs w:val="21"/>
                        </w:rPr>
                        <m:t>2</m:t>
                      </m:r>
                    </m:sup>
                  </m:sSup>
                </m:num>
                <m:den>
                  <m:r>
                    <w:rPr>
                      <w:rFonts w:ascii="Cambria Math" w:eastAsiaTheme="minorEastAsia" w:hAnsi="Cambria Math" w:cs="Times New Roman"/>
                      <w:szCs w:val="21"/>
                    </w:rPr>
                    <m:t>4</m:t>
                  </m:r>
                </m:den>
              </m:f>
            </m:e>
          </m:rad>
        </m:oMath>
      </m:oMathPara>
    </w:p>
    <w:p w14:paraId="1FDB9353" w14:textId="77777777" w:rsidR="005872CF" w:rsidRPr="005872CF" w:rsidRDefault="005872CF" w:rsidP="006D64ED">
      <w:pPr>
        <w:spacing w:after="0" w:line="240" w:lineRule="auto"/>
        <w:rPr>
          <w:rFonts w:eastAsiaTheme="minorEastAsia" w:cs="Times New Roman"/>
          <w:szCs w:val="21"/>
        </w:rPr>
      </w:pPr>
      <m:oMathPara>
        <m:oMath>
          <m:r>
            <w:rPr>
              <w:rFonts w:ascii="Cambria Math" w:eastAsiaTheme="minorEastAsia" w:hAnsi="Cambria Math" w:cs="Times New Roman"/>
              <w:szCs w:val="21"/>
            </w:rPr>
            <m:t>=</m:t>
          </m:r>
          <m:rad>
            <m:radPr>
              <m:degHide m:val="1"/>
              <m:ctrlPr>
                <w:rPr>
                  <w:rFonts w:ascii="Cambria Math" w:eastAsiaTheme="minorEastAsia" w:hAnsi="Cambria Math" w:cs="Times New Roman"/>
                  <w:i/>
                  <w:szCs w:val="21"/>
                </w:rPr>
              </m:ctrlPr>
            </m:radPr>
            <m:deg/>
            <m:e>
              <m:f>
                <m:fPr>
                  <m:ctrlPr>
                    <w:rPr>
                      <w:rFonts w:ascii="Cambria Math" w:eastAsiaTheme="minorEastAsia" w:hAnsi="Cambria Math" w:cs="Times New Roman"/>
                      <w:i/>
                      <w:szCs w:val="21"/>
                    </w:rPr>
                  </m:ctrlPr>
                </m:fPr>
                <m:num>
                  <m:r>
                    <w:rPr>
                      <w:rFonts w:ascii="Cambria Math" w:eastAsiaTheme="minorEastAsia" w:hAnsi="Cambria Math" w:cs="Times New Roman"/>
                      <w:szCs w:val="21"/>
                    </w:rPr>
                    <m:t>1+0+1+1+1</m:t>
                  </m:r>
                </m:num>
                <m:den>
                  <m:r>
                    <w:rPr>
                      <w:rFonts w:ascii="Cambria Math" w:eastAsiaTheme="minorEastAsia" w:hAnsi="Cambria Math" w:cs="Times New Roman"/>
                      <w:szCs w:val="21"/>
                    </w:rPr>
                    <m:t>4</m:t>
                  </m:r>
                </m:den>
              </m:f>
            </m:e>
          </m:rad>
        </m:oMath>
      </m:oMathPara>
    </w:p>
    <w:p w14:paraId="45AF97AA" w14:textId="77777777" w:rsidR="005872CF" w:rsidRPr="005872CF" w:rsidRDefault="005872CF" w:rsidP="006D64ED">
      <w:pPr>
        <w:spacing w:after="0" w:line="240" w:lineRule="auto"/>
        <w:rPr>
          <w:rFonts w:eastAsiaTheme="minorEastAsia" w:cs="Times New Roman"/>
          <w:szCs w:val="21"/>
        </w:rPr>
      </w:pPr>
      <m:oMathPara>
        <m:oMath>
          <m:r>
            <w:rPr>
              <w:rFonts w:ascii="Cambria Math" w:eastAsiaTheme="minorEastAsia" w:hAnsi="Cambria Math" w:cs="Times New Roman"/>
              <w:szCs w:val="21"/>
            </w:rPr>
            <m:t>=</m:t>
          </m:r>
          <m:rad>
            <m:radPr>
              <m:degHide m:val="1"/>
              <m:ctrlPr>
                <w:rPr>
                  <w:rFonts w:ascii="Cambria Math" w:eastAsiaTheme="minorEastAsia" w:hAnsi="Cambria Math" w:cs="Times New Roman"/>
                  <w:i/>
                  <w:szCs w:val="21"/>
                </w:rPr>
              </m:ctrlPr>
            </m:radPr>
            <m:deg/>
            <m:e>
              <m:f>
                <m:fPr>
                  <m:ctrlPr>
                    <w:rPr>
                      <w:rFonts w:ascii="Cambria Math" w:eastAsiaTheme="minorEastAsia" w:hAnsi="Cambria Math" w:cs="Times New Roman"/>
                      <w:i/>
                      <w:szCs w:val="21"/>
                    </w:rPr>
                  </m:ctrlPr>
                </m:fPr>
                <m:num>
                  <m:r>
                    <w:rPr>
                      <w:rFonts w:ascii="Cambria Math" w:eastAsiaTheme="minorEastAsia" w:hAnsi="Cambria Math" w:cs="Times New Roman"/>
                      <w:szCs w:val="21"/>
                    </w:rPr>
                    <m:t>4</m:t>
                  </m:r>
                </m:num>
                <m:den>
                  <m:r>
                    <w:rPr>
                      <w:rFonts w:ascii="Cambria Math" w:eastAsiaTheme="minorEastAsia" w:hAnsi="Cambria Math" w:cs="Times New Roman"/>
                      <w:szCs w:val="21"/>
                    </w:rPr>
                    <m:t>4</m:t>
                  </m:r>
                </m:den>
              </m:f>
            </m:e>
          </m:rad>
          <m:r>
            <w:rPr>
              <w:rFonts w:ascii="Cambria Math" w:eastAsiaTheme="minorEastAsia" w:hAnsi="Cambria Math" w:cs="Times New Roman"/>
              <w:szCs w:val="21"/>
            </w:rPr>
            <m:t>=1</m:t>
          </m:r>
        </m:oMath>
      </m:oMathPara>
    </w:p>
    <w:p w14:paraId="7C5A3DA7" w14:textId="77777777" w:rsidR="005872CF" w:rsidRPr="005872CF" w:rsidRDefault="005872CF" w:rsidP="006D64ED">
      <w:pPr>
        <w:spacing w:after="0" w:line="240" w:lineRule="auto"/>
        <w:rPr>
          <w:rFonts w:eastAsiaTheme="minorEastAsia" w:cs="Times New Roman"/>
          <w:szCs w:val="21"/>
        </w:rPr>
      </w:pPr>
    </w:p>
    <w:p w14:paraId="2CFC3B43" w14:textId="77777777" w:rsidR="005872CF" w:rsidRPr="005872CF" w:rsidRDefault="005872CF" w:rsidP="006D64ED">
      <w:pPr>
        <w:spacing w:after="0" w:line="240" w:lineRule="auto"/>
        <w:jc w:val="both"/>
        <w:rPr>
          <w:rFonts w:eastAsiaTheme="minorEastAsia" w:cs="Times New Roman"/>
          <w:szCs w:val="21"/>
        </w:rPr>
      </w:pPr>
      <w:r w:rsidRPr="005872CF">
        <w:rPr>
          <w:rFonts w:eastAsiaTheme="minorEastAsia" w:cs="Times New Roman"/>
          <w:szCs w:val="21"/>
        </w:rPr>
        <w:t>Standardafvigelsen for indikatorvariabel 2 er dermed 1. På samme måde kan man benytte formlen til at beregne standardafvigelsen for variabel 1. Her fås en standardafvigelsen på 2,3. Standardafvigelsen kaldes også for spredningen og kan intuitivt opfattes som forskellen på indikatorværdien for en tilfældig observation og middelværdien.</w:t>
      </w:r>
    </w:p>
    <w:p w14:paraId="637A3C19" w14:textId="77777777" w:rsidR="005872CF" w:rsidRPr="005872CF" w:rsidRDefault="005872CF" w:rsidP="006D64ED">
      <w:pPr>
        <w:spacing w:after="0" w:line="240" w:lineRule="auto"/>
        <w:rPr>
          <w:rFonts w:eastAsiaTheme="minorEastAsia" w:cs="Times New Roman"/>
          <w:szCs w:val="21"/>
        </w:rPr>
      </w:pPr>
    </w:p>
    <w:p w14:paraId="6862B678" w14:textId="77777777" w:rsidR="006D64ED" w:rsidRDefault="005872CF" w:rsidP="006D64ED">
      <w:pPr>
        <w:spacing w:after="0" w:line="240" w:lineRule="auto"/>
        <w:rPr>
          <w:rFonts w:eastAsiaTheme="minorEastAsia" w:cs="Times New Roman"/>
          <w:szCs w:val="21"/>
        </w:rPr>
      </w:pPr>
      <w:r w:rsidRPr="005872CF">
        <w:rPr>
          <w:rFonts w:eastAsiaTheme="minorEastAsia" w:cs="Times New Roman"/>
          <w:szCs w:val="21"/>
        </w:rPr>
        <w:t xml:space="preserve">Herefter kan t-værdierne beregnes vha. standardafvigelsen. En t-værdi vil praktisk talt altid ligge mellem -3 og 3. </w:t>
      </w:r>
    </w:p>
    <w:p w14:paraId="2C12355D" w14:textId="77777777" w:rsidR="006D64ED" w:rsidRDefault="006D64ED" w:rsidP="006D64ED">
      <w:pPr>
        <w:spacing w:after="0" w:line="240" w:lineRule="auto"/>
        <w:rPr>
          <w:rFonts w:eastAsiaTheme="minorEastAsia" w:cs="Times New Roman"/>
          <w:szCs w:val="21"/>
        </w:rPr>
      </w:pPr>
    </w:p>
    <w:p w14:paraId="17A64D0D" w14:textId="2DFF093D"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t>t-værdien regnes med denne formel</w:t>
      </w:r>
    </w:p>
    <w:p w14:paraId="61E69B9A" w14:textId="77777777" w:rsidR="005872CF" w:rsidRPr="005872CF" w:rsidRDefault="002B309B" w:rsidP="006D64ED">
      <w:pPr>
        <w:spacing w:after="0" w:line="240" w:lineRule="auto"/>
        <w:rPr>
          <w:rFonts w:eastAsiaTheme="minorEastAsia" w:cs="Times New Roman"/>
          <w:szCs w:val="21"/>
        </w:rPr>
      </w:pPr>
      <m:oMathPara>
        <m:oMath>
          <m:f>
            <m:fPr>
              <m:ctrlPr>
                <w:rPr>
                  <w:rFonts w:ascii="Cambria Math" w:eastAsiaTheme="minorEastAsia" w:hAnsi="Cambria Math" w:cs="Times New Roman"/>
                  <w:i/>
                  <w:szCs w:val="21"/>
                </w:rPr>
              </m:ctrlPr>
            </m:fPr>
            <m:num>
              <m:r>
                <w:rPr>
                  <w:rFonts w:ascii="Cambria Math" w:eastAsiaTheme="minorEastAsia" w:hAnsi="Cambria Math" w:cs="Times New Roman"/>
                  <w:szCs w:val="21"/>
                </w:rPr>
                <m:t>x-</m:t>
              </m:r>
              <m:acc>
                <m:accPr>
                  <m:chr m:val="̅"/>
                  <m:ctrlPr>
                    <w:rPr>
                      <w:rFonts w:ascii="Cambria Math" w:eastAsiaTheme="minorEastAsia" w:hAnsi="Cambria Math" w:cs="Times New Roman"/>
                      <w:i/>
                      <w:szCs w:val="21"/>
                    </w:rPr>
                  </m:ctrlPr>
                </m:accPr>
                <m:e>
                  <m:r>
                    <w:rPr>
                      <w:rFonts w:ascii="Cambria Math" w:eastAsiaTheme="minorEastAsia" w:hAnsi="Cambria Math" w:cs="Times New Roman"/>
                      <w:szCs w:val="21"/>
                    </w:rPr>
                    <m:t>x</m:t>
                  </m:r>
                </m:e>
              </m:acc>
            </m:num>
            <m:den>
              <m:r>
                <w:rPr>
                  <w:rFonts w:ascii="Cambria Math" w:eastAsiaTheme="minorEastAsia" w:hAnsi="Cambria Math" w:cs="Times New Roman"/>
                  <w:szCs w:val="21"/>
                </w:rPr>
                <m:t>std(x)</m:t>
              </m:r>
            </m:den>
          </m:f>
        </m:oMath>
      </m:oMathPara>
    </w:p>
    <w:p w14:paraId="66EC3F68" w14:textId="77777777" w:rsidR="005872CF" w:rsidRPr="005872CF" w:rsidRDefault="005872CF" w:rsidP="006D64ED">
      <w:pPr>
        <w:spacing w:after="0" w:line="240" w:lineRule="auto"/>
        <w:rPr>
          <w:rFonts w:eastAsiaTheme="minorEastAsia" w:cs="Times New Roman"/>
          <w:szCs w:val="21"/>
        </w:rPr>
      </w:pPr>
    </w:p>
    <w:p w14:paraId="1049582B" w14:textId="77777777"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t>Lad os fx regne t-værdien for indikator 1 for afdeling 1.</w:t>
      </w:r>
    </w:p>
    <w:p w14:paraId="68C825DC" w14:textId="77777777" w:rsidR="005872CF" w:rsidRPr="005872CF" w:rsidRDefault="002B309B" w:rsidP="006D64ED">
      <w:pPr>
        <w:spacing w:after="0" w:line="240" w:lineRule="auto"/>
        <w:rPr>
          <w:rFonts w:eastAsiaTheme="minorEastAsia" w:cs="Times New Roman"/>
          <w:szCs w:val="21"/>
        </w:rPr>
      </w:pPr>
      <m:oMathPara>
        <m:oMath>
          <m:f>
            <m:fPr>
              <m:ctrlPr>
                <w:rPr>
                  <w:rFonts w:ascii="Cambria Math" w:eastAsiaTheme="minorEastAsia" w:hAnsi="Cambria Math" w:cs="Times New Roman"/>
                  <w:i/>
                  <w:szCs w:val="21"/>
                </w:rPr>
              </m:ctrlPr>
            </m:fPr>
            <m:num>
              <m:r>
                <w:rPr>
                  <w:rFonts w:ascii="Cambria Math" w:eastAsiaTheme="minorEastAsia" w:hAnsi="Cambria Math" w:cs="Times New Roman"/>
                  <w:szCs w:val="21"/>
                </w:rPr>
                <m:t>3-4,4</m:t>
              </m:r>
            </m:num>
            <m:den>
              <m:r>
                <w:rPr>
                  <w:rFonts w:ascii="Cambria Math" w:eastAsiaTheme="minorEastAsia" w:hAnsi="Cambria Math" w:cs="Times New Roman"/>
                  <w:szCs w:val="21"/>
                </w:rPr>
                <m:t>2,3</m:t>
              </m:r>
            </m:den>
          </m:f>
          <m:r>
            <w:rPr>
              <w:rFonts w:ascii="Cambria Math" w:eastAsiaTheme="minorEastAsia" w:hAnsi="Cambria Math" w:cs="Times New Roman"/>
              <w:szCs w:val="21"/>
            </w:rPr>
            <m:t>=-0,61</m:t>
          </m:r>
        </m:oMath>
      </m:oMathPara>
    </w:p>
    <w:p w14:paraId="61616A9F" w14:textId="77777777" w:rsidR="005872CF" w:rsidRPr="005872CF" w:rsidRDefault="005872CF" w:rsidP="006D64ED">
      <w:pPr>
        <w:spacing w:after="0" w:line="240" w:lineRule="auto"/>
        <w:rPr>
          <w:rFonts w:eastAsiaTheme="minorEastAsia" w:cs="Times New Roman"/>
          <w:szCs w:val="21"/>
        </w:rPr>
      </w:pPr>
    </w:p>
    <w:p w14:paraId="0ABAB514" w14:textId="77777777"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t>I nedenstående tabel er alle indikatorværdierne fra tabel 1 omregnet til t-værdier.</w:t>
      </w:r>
    </w:p>
    <w:p w14:paraId="37C16BA6" w14:textId="77777777" w:rsidR="005872CF" w:rsidRPr="005872CF" w:rsidRDefault="005872CF" w:rsidP="006D64ED">
      <w:pPr>
        <w:spacing w:after="0" w:line="240" w:lineRule="auto"/>
        <w:rPr>
          <w:rFonts w:eastAsiaTheme="minorEastAsia" w:cs="Times New Roman"/>
          <w:szCs w:val="21"/>
        </w:rPr>
      </w:pPr>
    </w:p>
    <w:p w14:paraId="124B9FAA" w14:textId="77777777" w:rsidR="005872CF" w:rsidRPr="005872CF" w:rsidRDefault="005872CF" w:rsidP="006D64ED">
      <w:pPr>
        <w:pBdr>
          <w:top w:val="single" w:sz="4" w:space="1" w:color="auto"/>
          <w:bottom w:val="single" w:sz="4" w:space="2" w:color="auto"/>
        </w:pBdr>
        <w:spacing w:after="0" w:line="240" w:lineRule="auto"/>
        <w:jc w:val="center"/>
        <w:rPr>
          <w:rFonts w:eastAsiaTheme="minorEastAsia" w:cs="Times New Roman"/>
          <w:szCs w:val="21"/>
        </w:rPr>
      </w:pPr>
      <w:r w:rsidRPr="005872CF">
        <w:rPr>
          <w:rFonts w:eastAsiaTheme="minorEastAsia" w:cs="Times New Roman"/>
          <w:szCs w:val="21"/>
        </w:rPr>
        <w:t>t-værdier</w:t>
      </w:r>
    </w:p>
    <w:p w14:paraId="7A3906DC" w14:textId="77777777" w:rsidR="005872CF" w:rsidRPr="005872CF" w:rsidRDefault="005872CF" w:rsidP="006D64ED">
      <w:pPr>
        <w:pBdr>
          <w:bottom w:val="single" w:sz="4" w:space="1" w:color="auto"/>
        </w:pBdr>
        <w:spacing w:after="0" w:line="240" w:lineRule="auto"/>
        <w:rPr>
          <w:rFonts w:eastAsiaTheme="minorEastAsia" w:cs="Times New Roman"/>
          <w:szCs w:val="21"/>
        </w:rPr>
      </w:pPr>
      <w:r w:rsidRPr="005872CF">
        <w:rPr>
          <w:rFonts w:eastAsiaTheme="minorEastAsia" w:cs="Times New Roman"/>
          <w:szCs w:val="21"/>
        </w:rPr>
        <w:t>Afdelinger</w:t>
      </w:r>
      <w:r w:rsidRPr="005872CF">
        <w:rPr>
          <w:rFonts w:eastAsiaTheme="minorEastAsia" w:cs="Times New Roman"/>
          <w:szCs w:val="21"/>
        </w:rPr>
        <w:tab/>
      </w:r>
      <w:r w:rsidRPr="005872CF">
        <w:rPr>
          <w:rFonts w:eastAsiaTheme="minorEastAsia" w:cs="Times New Roman"/>
          <w:szCs w:val="21"/>
        </w:rPr>
        <w:tab/>
        <w:t>Indikator 1</w:t>
      </w:r>
      <w:r w:rsidRPr="005872CF">
        <w:rPr>
          <w:rFonts w:eastAsiaTheme="minorEastAsia" w:cs="Times New Roman"/>
          <w:szCs w:val="21"/>
        </w:rPr>
        <w:tab/>
      </w:r>
      <w:r w:rsidRPr="005872CF">
        <w:rPr>
          <w:rFonts w:eastAsiaTheme="minorEastAsia" w:cs="Times New Roman"/>
          <w:szCs w:val="21"/>
        </w:rPr>
        <w:tab/>
      </w:r>
      <w:r w:rsidRPr="005872CF">
        <w:rPr>
          <w:rFonts w:eastAsiaTheme="minorEastAsia" w:cs="Times New Roman"/>
          <w:szCs w:val="21"/>
        </w:rPr>
        <w:tab/>
        <w:t>Indikator 2</w:t>
      </w:r>
    </w:p>
    <w:p w14:paraId="78C91869" w14:textId="77777777"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t>Afdeling 1</w:t>
      </w:r>
      <w:r w:rsidRPr="005872CF">
        <w:rPr>
          <w:rFonts w:eastAsiaTheme="minorEastAsia" w:cs="Times New Roman"/>
          <w:szCs w:val="21"/>
        </w:rPr>
        <w:tab/>
      </w:r>
      <w:r w:rsidRPr="005872CF">
        <w:rPr>
          <w:rFonts w:eastAsiaTheme="minorEastAsia" w:cs="Times New Roman"/>
          <w:szCs w:val="21"/>
        </w:rPr>
        <w:tab/>
        <w:t>-0,60812114</w:t>
      </w:r>
      <w:r w:rsidRPr="005872CF">
        <w:rPr>
          <w:rFonts w:eastAsiaTheme="minorEastAsia" w:cs="Times New Roman"/>
          <w:szCs w:val="21"/>
        </w:rPr>
        <w:tab/>
      </w:r>
      <w:r w:rsidRPr="005872CF">
        <w:rPr>
          <w:rFonts w:eastAsiaTheme="minorEastAsia" w:cs="Times New Roman"/>
          <w:szCs w:val="21"/>
        </w:rPr>
        <w:tab/>
        <w:t>-1</w:t>
      </w:r>
    </w:p>
    <w:p w14:paraId="55BA62F6" w14:textId="77777777"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t>Afdeling 2</w:t>
      </w:r>
      <w:r w:rsidRPr="005872CF">
        <w:rPr>
          <w:rFonts w:eastAsiaTheme="minorEastAsia" w:cs="Times New Roman"/>
          <w:szCs w:val="21"/>
        </w:rPr>
        <w:tab/>
      </w:r>
      <w:r w:rsidRPr="005872CF">
        <w:rPr>
          <w:rFonts w:eastAsiaTheme="minorEastAsia" w:cs="Times New Roman"/>
          <w:szCs w:val="21"/>
        </w:rPr>
        <w:tab/>
        <w:t>-1,04249338</w:t>
      </w:r>
      <w:r w:rsidRPr="005872CF">
        <w:rPr>
          <w:rFonts w:eastAsiaTheme="minorEastAsia" w:cs="Times New Roman"/>
          <w:szCs w:val="21"/>
        </w:rPr>
        <w:tab/>
      </w:r>
      <w:r w:rsidRPr="005872CF">
        <w:rPr>
          <w:rFonts w:eastAsiaTheme="minorEastAsia" w:cs="Times New Roman"/>
          <w:szCs w:val="21"/>
        </w:rPr>
        <w:tab/>
        <w:t xml:space="preserve"> 0</w:t>
      </w:r>
    </w:p>
    <w:p w14:paraId="6A736A15" w14:textId="77777777"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t>Afdeling 3</w:t>
      </w:r>
      <w:r w:rsidRPr="005872CF">
        <w:rPr>
          <w:rFonts w:eastAsiaTheme="minorEastAsia" w:cs="Times New Roman"/>
          <w:szCs w:val="21"/>
        </w:rPr>
        <w:tab/>
      </w:r>
      <w:r w:rsidRPr="005872CF">
        <w:rPr>
          <w:rFonts w:eastAsiaTheme="minorEastAsia" w:cs="Times New Roman"/>
          <w:szCs w:val="21"/>
        </w:rPr>
        <w:tab/>
        <w:t xml:space="preserve"> 1,56374007</w:t>
      </w:r>
      <w:r w:rsidRPr="005872CF">
        <w:rPr>
          <w:rFonts w:eastAsiaTheme="minorEastAsia" w:cs="Times New Roman"/>
          <w:szCs w:val="21"/>
        </w:rPr>
        <w:tab/>
      </w:r>
      <w:r w:rsidRPr="005872CF">
        <w:rPr>
          <w:rFonts w:eastAsiaTheme="minorEastAsia" w:cs="Times New Roman"/>
          <w:szCs w:val="21"/>
        </w:rPr>
        <w:tab/>
        <w:t>-1</w:t>
      </w:r>
    </w:p>
    <w:p w14:paraId="68B984FD" w14:textId="77777777" w:rsidR="005872CF" w:rsidRPr="005872CF" w:rsidRDefault="005872CF" w:rsidP="006D64ED">
      <w:pPr>
        <w:spacing w:after="0" w:line="240" w:lineRule="auto"/>
        <w:rPr>
          <w:rFonts w:eastAsiaTheme="minorEastAsia" w:cs="Times New Roman"/>
          <w:szCs w:val="21"/>
        </w:rPr>
      </w:pPr>
      <w:r w:rsidRPr="005872CF">
        <w:rPr>
          <w:rFonts w:eastAsiaTheme="minorEastAsia" w:cs="Times New Roman"/>
          <w:szCs w:val="21"/>
        </w:rPr>
        <w:t>Afdeling 4</w:t>
      </w:r>
      <w:r w:rsidRPr="005872CF">
        <w:rPr>
          <w:rFonts w:eastAsiaTheme="minorEastAsia" w:cs="Times New Roman"/>
          <w:szCs w:val="21"/>
        </w:rPr>
        <w:tab/>
      </w:r>
      <w:r w:rsidRPr="005872CF">
        <w:rPr>
          <w:rFonts w:eastAsiaTheme="minorEastAsia" w:cs="Times New Roman"/>
          <w:szCs w:val="21"/>
        </w:rPr>
        <w:tab/>
        <w:t>-0,17374889</w:t>
      </w:r>
      <w:r w:rsidRPr="005872CF">
        <w:rPr>
          <w:rFonts w:eastAsiaTheme="minorEastAsia" w:cs="Times New Roman"/>
          <w:szCs w:val="21"/>
        </w:rPr>
        <w:tab/>
      </w:r>
      <w:r w:rsidRPr="005872CF">
        <w:rPr>
          <w:rFonts w:eastAsiaTheme="minorEastAsia" w:cs="Times New Roman"/>
          <w:szCs w:val="21"/>
        </w:rPr>
        <w:tab/>
        <w:t xml:space="preserve"> 1</w:t>
      </w:r>
    </w:p>
    <w:p w14:paraId="302FC430" w14:textId="77777777" w:rsidR="005872CF" w:rsidRPr="005872CF" w:rsidRDefault="005872CF" w:rsidP="006D64ED">
      <w:pPr>
        <w:pBdr>
          <w:bottom w:val="single" w:sz="4" w:space="1" w:color="auto"/>
        </w:pBdr>
        <w:spacing w:after="0" w:line="240" w:lineRule="auto"/>
        <w:rPr>
          <w:rFonts w:eastAsiaTheme="minorEastAsia" w:cs="Times New Roman"/>
          <w:szCs w:val="21"/>
        </w:rPr>
      </w:pPr>
      <w:r w:rsidRPr="005872CF">
        <w:rPr>
          <w:rFonts w:eastAsiaTheme="minorEastAsia" w:cs="Times New Roman"/>
          <w:szCs w:val="21"/>
        </w:rPr>
        <w:t>Afdeling 5</w:t>
      </w:r>
      <w:r w:rsidRPr="005872CF">
        <w:rPr>
          <w:rFonts w:eastAsiaTheme="minorEastAsia" w:cs="Times New Roman"/>
          <w:szCs w:val="21"/>
        </w:rPr>
        <w:tab/>
      </w:r>
      <w:r w:rsidRPr="005872CF">
        <w:rPr>
          <w:rFonts w:eastAsiaTheme="minorEastAsia" w:cs="Times New Roman"/>
          <w:szCs w:val="21"/>
        </w:rPr>
        <w:tab/>
        <w:t xml:space="preserve"> 0,26062334</w:t>
      </w:r>
      <w:r w:rsidRPr="005872CF">
        <w:rPr>
          <w:rFonts w:eastAsiaTheme="minorEastAsia" w:cs="Times New Roman"/>
          <w:szCs w:val="21"/>
        </w:rPr>
        <w:tab/>
      </w:r>
      <w:r w:rsidRPr="005872CF">
        <w:rPr>
          <w:rFonts w:eastAsiaTheme="minorEastAsia" w:cs="Times New Roman"/>
          <w:szCs w:val="21"/>
        </w:rPr>
        <w:tab/>
        <w:t xml:space="preserve"> 1 </w:t>
      </w:r>
    </w:p>
    <w:p w14:paraId="33863CF4" w14:textId="77777777" w:rsidR="005872CF" w:rsidRPr="00C03528" w:rsidRDefault="005872CF" w:rsidP="006D64ED">
      <w:pPr>
        <w:spacing w:line="240" w:lineRule="auto"/>
        <w:rPr>
          <w:b/>
          <w:szCs w:val="21"/>
        </w:rPr>
      </w:pPr>
    </w:p>
    <w:sectPr w:rsidR="005872CF" w:rsidRPr="00C03528" w:rsidSect="006D64ED">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2F8C" w14:textId="77777777" w:rsidR="00650909" w:rsidRDefault="00650909" w:rsidP="001834EF">
      <w:pPr>
        <w:spacing w:after="0" w:line="240" w:lineRule="auto"/>
      </w:pPr>
      <w:r>
        <w:separator/>
      </w:r>
    </w:p>
  </w:endnote>
  <w:endnote w:type="continuationSeparator" w:id="0">
    <w:p w14:paraId="6C5EF52C" w14:textId="77777777" w:rsidR="00650909" w:rsidRDefault="00650909" w:rsidP="0018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38F5" w14:textId="77777777" w:rsidR="00650909" w:rsidRDefault="00650909" w:rsidP="001834EF">
      <w:pPr>
        <w:spacing w:after="0" w:line="240" w:lineRule="auto"/>
      </w:pPr>
      <w:r>
        <w:separator/>
      </w:r>
    </w:p>
  </w:footnote>
  <w:footnote w:type="continuationSeparator" w:id="0">
    <w:p w14:paraId="0178C903" w14:textId="77777777" w:rsidR="00650909" w:rsidRDefault="00650909" w:rsidP="001834EF">
      <w:pPr>
        <w:spacing w:after="0" w:line="240" w:lineRule="auto"/>
      </w:pPr>
      <w:r>
        <w:continuationSeparator/>
      </w:r>
    </w:p>
  </w:footnote>
  <w:footnote w:id="1">
    <w:p w14:paraId="70DECD98" w14:textId="77777777" w:rsidR="00092E7B" w:rsidRDefault="00092E7B" w:rsidP="0050326E">
      <w:pPr>
        <w:pStyle w:val="Fodnotetekst"/>
      </w:pPr>
      <w:r>
        <w:rPr>
          <w:rStyle w:val="Fodnotehenvisning"/>
        </w:rPr>
        <w:footnoteRef/>
      </w:r>
      <w:r>
        <w:t xml:space="preserve"> </w:t>
      </w:r>
      <w:r w:rsidRPr="00C526F7">
        <w:rPr>
          <w:szCs w:val="21"/>
        </w:rPr>
        <w:t>80 % af regnskaberne</w:t>
      </w:r>
      <w:r>
        <w:rPr>
          <w:szCs w:val="21"/>
        </w:rPr>
        <w:t xml:space="preserve"> (opgjort på boliger). De resterende 20 % opdateres i takt med at de indberettes.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738A" w14:textId="77777777" w:rsidR="00092E7B" w:rsidRDefault="00092E7B" w:rsidP="003F0134">
    <w:pPr>
      <w:pStyle w:val="Sidehoved"/>
      <w:ind w:left="-851"/>
    </w:pPr>
    <w:r>
      <w:t>LANDSBYGGEFONDEN</w:t>
    </w:r>
  </w:p>
  <w:p w14:paraId="07523CEB" w14:textId="7EBA0447" w:rsidR="00092E7B" w:rsidRDefault="002B309B" w:rsidP="003F0134">
    <w:pPr>
      <w:pStyle w:val="Sidehoved"/>
      <w:ind w:left="-851"/>
    </w:pPr>
    <w:r>
      <w:t>22</w:t>
    </w:r>
    <w:r w:rsidR="00092E7B">
      <w:t xml:space="preserve">. </w:t>
    </w:r>
    <w:r>
      <w:t>august</w:t>
    </w:r>
    <w:r w:rsidR="00092E7B">
      <w:t xml:space="preserve"> 20</w:t>
    </w:r>
    <w:r w:rsidR="00B77A05">
      <w:t>2</w:t>
    </w:r>
    <w:r w:rsidR="009B32C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EB3"/>
    <w:multiLevelType w:val="hybridMultilevel"/>
    <w:tmpl w:val="F4B8C5DE"/>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 w15:restartNumberingAfterBreak="0">
    <w:nsid w:val="1FAF2A4D"/>
    <w:multiLevelType w:val="hybridMultilevel"/>
    <w:tmpl w:val="21D0AAFA"/>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16cid:durableId="1537110935">
    <w:abstractNumId w:val="1"/>
  </w:num>
  <w:num w:numId="2" w16cid:durableId="34355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48"/>
    <w:rsid w:val="000264D0"/>
    <w:rsid w:val="00036F27"/>
    <w:rsid w:val="0006476E"/>
    <w:rsid w:val="000662D3"/>
    <w:rsid w:val="00090A29"/>
    <w:rsid w:val="00092E7B"/>
    <w:rsid w:val="000945D5"/>
    <w:rsid w:val="000A614B"/>
    <w:rsid w:val="000D3108"/>
    <w:rsid w:val="00114EF4"/>
    <w:rsid w:val="0011770A"/>
    <w:rsid w:val="00123B7E"/>
    <w:rsid w:val="001452DD"/>
    <w:rsid w:val="001610DE"/>
    <w:rsid w:val="00174E9A"/>
    <w:rsid w:val="001834EF"/>
    <w:rsid w:val="001F4BB5"/>
    <w:rsid w:val="001F6993"/>
    <w:rsid w:val="002755D0"/>
    <w:rsid w:val="0027622E"/>
    <w:rsid w:val="002828F4"/>
    <w:rsid w:val="002A2BBC"/>
    <w:rsid w:val="002B309B"/>
    <w:rsid w:val="002C7A41"/>
    <w:rsid w:val="002D3F72"/>
    <w:rsid w:val="002E3CC4"/>
    <w:rsid w:val="002E3E33"/>
    <w:rsid w:val="002F2AB7"/>
    <w:rsid w:val="00323700"/>
    <w:rsid w:val="00347F16"/>
    <w:rsid w:val="00351CB7"/>
    <w:rsid w:val="00391CA8"/>
    <w:rsid w:val="003C76BD"/>
    <w:rsid w:val="003F0134"/>
    <w:rsid w:val="00475695"/>
    <w:rsid w:val="0048327C"/>
    <w:rsid w:val="004A390D"/>
    <w:rsid w:val="004E6984"/>
    <w:rsid w:val="004F2229"/>
    <w:rsid w:val="0050326E"/>
    <w:rsid w:val="00524D47"/>
    <w:rsid w:val="00544018"/>
    <w:rsid w:val="00556D62"/>
    <w:rsid w:val="005663D3"/>
    <w:rsid w:val="005872CF"/>
    <w:rsid w:val="005A552F"/>
    <w:rsid w:val="005C7399"/>
    <w:rsid w:val="005E43DC"/>
    <w:rsid w:val="005F4640"/>
    <w:rsid w:val="0062239B"/>
    <w:rsid w:val="006358B0"/>
    <w:rsid w:val="00650909"/>
    <w:rsid w:val="00673E2A"/>
    <w:rsid w:val="006A3E54"/>
    <w:rsid w:val="006B3348"/>
    <w:rsid w:val="006C56C8"/>
    <w:rsid w:val="006D64ED"/>
    <w:rsid w:val="0079250F"/>
    <w:rsid w:val="007B6E0A"/>
    <w:rsid w:val="0081165F"/>
    <w:rsid w:val="008223B0"/>
    <w:rsid w:val="00850A9A"/>
    <w:rsid w:val="008559A4"/>
    <w:rsid w:val="008C0058"/>
    <w:rsid w:val="008C17D7"/>
    <w:rsid w:val="008E6B04"/>
    <w:rsid w:val="008F548C"/>
    <w:rsid w:val="00904F98"/>
    <w:rsid w:val="009233B9"/>
    <w:rsid w:val="009259CE"/>
    <w:rsid w:val="00941919"/>
    <w:rsid w:val="0094443D"/>
    <w:rsid w:val="00954521"/>
    <w:rsid w:val="009977AB"/>
    <w:rsid w:val="009B1AEF"/>
    <w:rsid w:val="009B32C4"/>
    <w:rsid w:val="009C2220"/>
    <w:rsid w:val="00A152BE"/>
    <w:rsid w:val="00A25474"/>
    <w:rsid w:val="00A3137E"/>
    <w:rsid w:val="00A535FF"/>
    <w:rsid w:val="00A54C50"/>
    <w:rsid w:val="00A72086"/>
    <w:rsid w:val="00A72F5B"/>
    <w:rsid w:val="00A82293"/>
    <w:rsid w:val="00A8421C"/>
    <w:rsid w:val="00AB147D"/>
    <w:rsid w:val="00AC15A1"/>
    <w:rsid w:val="00AC6C0E"/>
    <w:rsid w:val="00AD2015"/>
    <w:rsid w:val="00AF4604"/>
    <w:rsid w:val="00B17BFD"/>
    <w:rsid w:val="00B77A05"/>
    <w:rsid w:val="00B8214A"/>
    <w:rsid w:val="00BA2DE5"/>
    <w:rsid w:val="00BA7A27"/>
    <w:rsid w:val="00BB3679"/>
    <w:rsid w:val="00C03528"/>
    <w:rsid w:val="00C206CE"/>
    <w:rsid w:val="00C91AEA"/>
    <w:rsid w:val="00CB5B31"/>
    <w:rsid w:val="00D15E3C"/>
    <w:rsid w:val="00D54DA2"/>
    <w:rsid w:val="00DD0805"/>
    <w:rsid w:val="00DF24AA"/>
    <w:rsid w:val="00DF71D9"/>
    <w:rsid w:val="00E12FEB"/>
    <w:rsid w:val="00E14F80"/>
    <w:rsid w:val="00E24957"/>
    <w:rsid w:val="00E31181"/>
    <w:rsid w:val="00E44D06"/>
    <w:rsid w:val="00E63B0B"/>
    <w:rsid w:val="00E906D2"/>
    <w:rsid w:val="00F046FE"/>
    <w:rsid w:val="00F46E10"/>
    <w:rsid w:val="00F7478A"/>
    <w:rsid w:val="00FA19E5"/>
    <w:rsid w:val="00FB293A"/>
    <w:rsid w:val="00FD1C86"/>
    <w:rsid w:val="00FF16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E914"/>
  <w15:docId w15:val="{33A13404-0EA2-4A97-BADB-A14A6EEF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Batang" w:hAnsi="Verdana"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34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34EF"/>
  </w:style>
  <w:style w:type="paragraph" w:styleId="Sidefod">
    <w:name w:val="footer"/>
    <w:basedOn w:val="Normal"/>
    <w:link w:val="SidefodTegn"/>
    <w:uiPriority w:val="99"/>
    <w:unhideWhenUsed/>
    <w:rsid w:val="001834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34EF"/>
  </w:style>
  <w:style w:type="paragraph" w:styleId="Listeafsnit">
    <w:name w:val="List Paragraph"/>
    <w:basedOn w:val="Normal"/>
    <w:uiPriority w:val="34"/>
    <w:qFormat/>
    <w:rsid w:val="00FF16B1"/>
    <w:pPr>
      <w:ind w:left="720"/>
      <w:contextualSpacing/>
    </w:pPr>
    <w:rPr>
      <w:rFonts w:eastAsia="Calibri" w:cs="Times New Roman"/>
    </w:rPr>
  </w:style>
  <w:style w:type="table" w:styleId="Tabel-Gitter">
    <w:name w:val="Table Grid"/>
    <w:basedOn w:val="Tabel-Normal"/>
    <w:uiPriority w:val="59"/>
    <w:rsid w:val="005872C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872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2CF"/>
    <w:rPr>
      <w:rFonts w:ascii="Tahoma" w:hAnsi="Tahoma" w:cs="Tahoma"/>
      <w:sz w:val="16"/>
      <w:szCs w:val="16"/>
    </w:rPr>
  </w:style>
  <w:style w:type="table" w:styleId="Lysskygge">
    <w:name w:val="Light Shading"/>
    <w:basedOn w:val="Tabel-Normal"/>
    <w:uiPriority w:val="60"/>
    <w:rsid w:val="006C56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6C56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dnotetekst">
    <w:name w:val="footnote text"/>
    <w:basedOn w:val="Normal"/>
    <w:link w:val="FodnotetekstTegn"/>
    <w:uiPriority w:val="99"/>
    <w:semiHidden/>
    <w:unhideWhenUsed/>
    <w:rsid w:val="0050326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0326E"/>
    <w:rPr>
      <w:sz w:val="20"/>
      <w:szCs w:val="20"/>
    </w:rPr>
  </w:style>
  <w:style w:type="character" w:styleId="Fodnotehenvisning">
    <w:name w:val="footnote reference"/>
    <w:basedOn w:val="Standardskrifttypeiafsnit"/>
    <w:uiPriority w:val="99"/>
    <w:semiHidden/>
    <w:unhideWhenUsed/>
    <w:rsid w:val="0050326E"/>
    <w:rPr>
      <w:vertAlign w:val="superscript"/>
    </w:rPr>
  </w:style>
  <w:style w:type="character" w:customStyle="1" w:styleId="dictionary-highlight">
    <w:name w:val="dictionary-highlight"/>
    <w:basedOn w:val="Standardskrifttypeiafsnit"/>
    <w:rsid w:val="00A72F5B"/>
  </w:style>
  <w:style w:type="paragraph" w:customStyle="1" w:styleId="Default">
    <w:name w:val="Default"/>
    <w:rsid w:val="00D54DA2"/>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845">
      <w:bodyDiv w:val="1"/>
      <w:marLeft w:val="0"/>
      <w:marRight w:val="0"/>
      <w:marTop w:val="0"/>
      <w:marBottom w:val="0"/>
      <w:divBdr>
        <w:top w:val="none" w:sz="0" w:space="0" w:color="auto"/>
        <w:left w:val="none" w:sz="0" w:space="0" w:color="auto"/>
        <w:bottom w:val="none" w:sz="0" w:space="0" w:color="auto"/>
        <w:right w:val="none" w:sz="0" w:space="0" w:color="auto"/>
      </w:divBdr>
    </w:div>
    <w:div w:id="117994680">
      <w:bodyDiv w:val="1"/>
      <w:marLeft w:val="0"/>
      <w:marRight w:val="0"/>
      <w:marTop w:val="0"/>
      <w:marBottom w:val="0"/>
      <w:divBdr>
        <w:top w:val="none" w:sz="0" w:space="0" w:color="auto"/>
        <w:left w:val="none" w:sz="0" w:space="0" w:color="auto"/>
        <w:bottom w:val="none" w:sz="0" w:space="0" w:color="auto"/>
        <w:right w:val="none" w:sz="0" w:space="0" w:color="auto"/>
      </w:divBdr>
    </w:div>
    <w:div w:id="509640657">
      <w:bodyDiv w:val="1"/>
      <w:marLeft w:val="0"/>
      <w:marRight w:val="0"/>
      <w:marTop w:val="0"/>
      <w:marBottom w:val="0"/>
      <w:divBdr>
        <w:top w:val="none" w:sz="0" w:space="0" w:color="auto"/>
        <w:left w:val="none" w:sz="0" w:space="0" w:color="auto"/>
        <w:bottom w:val="none" w:sz="0" w:space="0" w:color="auto"/>
        <w:right w:val="none" w:sz="0" w:space="0" w:color="auto"/>
      </w:divBdr>
    </w:div>
    <w:div w:id="704210594">
      <w:bodyDiv w:val="1"/>
      <w:marLeft w:val="0"/>
      <w:marRight w:val="0"/>
      <w:marTop w:val="0"/>
      <w:marBottom w:val="0"/>
      <w:divBdr>
        <w:top w:val="none" w:sz="0" w:space="0" w:color="auto"/>
        <w:left w:val="none" w:sz="0" w:space="0" w:color="auto"/>
        <w:bottom w:val="none" w:sz="0" w:space="0" w:color="auto"/>
        <w:right w:val="none" w:sz="0" w:space="0" w:color="auto"/>
      </w:divBdr>
    </w:div>
    <w:div w:id="1102916284">
      <w:bodyDiv w:val="1"/>
      <w:marLeft w:val="0"/>
      <w:marRight w:val="0"/>
      <w:marTop w:val="0"/>
      <w:marBottom w:val="0"/>
      <w:divBdr>
        <w:top w:val="none" w:sz="0" w:space="0" w:color="auto"/>
        <w:left w:val="none" w:sz="0" w:space="0" w:color="auto"/>
        <w:bottom w:val="none" w:sz="0" w:space="0" w:color="auto"/>
        <w:right w:val="none" w:sz="0" w:space="0" w:color="auto"/>
      </w:divBdr>
    </w:div>
    <w:div w:id="1252817074">
      <w:bodyDiv w:val="1"/>
      <w:marLeft w:val="0"/>
      <w:marRight w:val="0"/>
      <w:marTop w:val="0"/>
      <w:marBottom w:val="0"/>
      <w:divBdr>
        <w:top w:val="none" w:sz="0" w:space="0" w:color="auto"/>
        <w:left w:val="none" w:sz="0" w:space="0" w:color="auto"/>
        <w:bottom w:val="none" w:sz="0" w:space="0" w:color="auto"/>
        <w:right w:val="none" w:sz="0" w:space="0" w:color="auto"/>
      </w:divBdr>
    </w:div>
    <w:div w:id="1669136703">
      <w:bodyDiv w:val="1"/>
      <w:marLeft w:val="0"/>
      <w:marRight w:val="0"/>
      <w:marTop w:val="0"/>
      <w:marBottom w:val="0"/>
      <w:divBdr>
        <w:top w:val="none" w:sz="0" w:space="0" w:color="auto"/>
        <w:left w:val="none" w:sz="0" w:space="0" w:color="auto"/>
        <w:bottom w:val="none" w:sz="0" w:space="0" w:color="auto"/>
        <w:right w:val="none" w:sz="0" w:space="0" w:color="auto"/>
      </w:divBdr>
    </w:div>
    <w:div w:id="1925455543">
      <w:bodyDiv w:val="1"/>
      <w:marLeft w:val="0"/>
      <w:marRight w:val="0"/>
      <w:marTop w:val="0"/>
      <w:marBottom w:val="0"/>
      <w:divBdr>
        <w:top w:val="none" w:sz="0" w:space="0" w:color="auto"/>
        <w:left w:val="none" w:sz="0" w:space="0" w:color="auto"/>
        <w:bottom w:val="none" w:sz="0" w:space="0" w:color="auto"/>
        <w:right w:val="none" w:sz="0" w:space="0" w:color="auto"/>
      </w:divBdr>
    </w:div>
    <w:div w:id="20109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B3FD-D8B7-4B2A-B7B9-FEA95596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2081</Words>
  <Characters>12697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Boligselskabernes HUs</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Henrik Lynge Hansen</cp:lastModifiedBy>
  <cp:revision>3</cp:revision>
  <cp:lastPrinted>2022-11-25T13:09:00Z</cp:lastPrinted>
  <dcterms:created xsi:type="dcterms:W3CDTF">2023-08-28T12:55:00Z</dcterms:created>
  <dcterms:modified xsi:type="dcterms:W3CDTF">2023-08-28T12:57:00Z</dcterms:modified>
</cp:coreProperties>
</file>